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Scorpius</w:t>
      </w:r>
    </w:p>
    <w:p>
      <w:pPr>
        <w:pStyle w:val="Subtitle"/>
      </w:pPr>
      <w:hyperlink r:id="rId100">
        <w:r>
          <w:rPr>
            <w:color w:val="1F4E79"/>
            <w:u w:val="single"/>
          </w:rPr>
          <w:t xml:space="preserve">https://www.agoramores.com/sky/constellations/scorpius</w:t>
        </w:r>
      </w:hyperlink>
    </w:p>
    <w:p>
      <w:pPr>
        <w:pStyle w:val="Subtitle"/>
      </w:pPr>
      <w:r>
        <w:t xml:space="preserve">Tags: sky · constellations · astronomy · mythology</w:t>
      </w:r>
    </w:p>
    <w:p>
      <w:pPr>
        <w:pBdr>
          <w:bottom w:val="single" w:sz="6" w:space="1" w:color="808080"/>
        </w:pBdr>
      </w:pPr>
    </w:p>
    <w:p>
      <w:pPr>
        <w:pStyle w:val="Heading1"/>
      </w:pPr>
      <w:r>
        <w:t xml:space="preserve">Related</w:t>
      </w:r>
    </w:p>
    <w:p>
      <w:pPr>
        <w:pStyle w:val="Heading2"/>
      </w:pPr>
      <w:hyperlink r:id="rId101">
        <w:r>
          <w:rPr>
            <w:color w:val="1F4E79"/>
            <w:u w:val="single"/>
          </w:rPr>
          <w:t xml:space="preserve">mythology</w:t>
        </w:r>
      </w:hyperlink>
    </w:p>
    <w:p>
      <w:pPr>
        <w:pStyle w:val="ListParagraph"/>
        <w:numPr>
          <w:ilvl w:val="0"/>
          <w:numId w:val="1"/>
        </w:numPr>
      </w:pPr>
      <w:hyperlink r:id="rId102">
        <w:r>
          <w:rPr>
            <w:color w:val="1F4E79"/>
            <w:u w:val="single"/>
          </w:rPr>
          <w:t xml:space="preserve">Cygnus</w:t>
        </w:r>
      </w:hyperlink>
    </w:p>
    <w:p>
      <w:pPr>
        <w:pStyle w:val="ListParagraph"/>
        <w:numPr>
          <w:ilvl w:val="0"/>
          <w:numId w:val="1"/>
        </w:numPr>
      </w:pPr>
      <w:hyperlink r:id="rId103">
        <w:r>
          <w:rPr>
            <w:color w:val="1F4E79"/>
            <w:u w:val="single"/>
          </w:rPr>
          <w:t xml:space="preserve">Bootes</w:t>
        </w:r>
      </w:hyperlink>
    </w:p>
    <w:p>
      <w:pPr>
        <w:pStyle w:val="ListParagraph"/>
        <w:numPr>
          <w:ilvl w:val="0"/>
          <w:numId w:val="1"/>
        </w:numPr>
      </w:pPr>
      <w:hyperlink r:id="rId104">
        <w:r>
          <w:rPr>
            <w:color w:val="1F4E79"/>
            <w:u w:val="single"/>
          </w:rPr>
          <w:t xml:space="preserve">Corona Borealis</w:t>
        </w:r>
      </w:hyperlink>
    </w:p>
    <w:p>
      <w:pPr>
        <w:pStyle w:val="ListParagraph"/>
        <w:numPr>
          <w:ilvl w:val="0"/>
          <w:numId w:val="1"/>
        </w:numPr>
      </w:pPr>
      <w:hyperlink r:id="rId105">
        <w:r>
          <w:rPr>
            <w:color w:val="1F4E79"/>
            <w:u w:val="single"/>
          </w:rPr>
          <w:t xml:space="preserve">Ursa Minor</w:t>
        </w:r>
      </w:hyperlink>
    </w:p>
    <w:p>
      <w:pPr>
        <w:pStyle w:val="ListParagraph"/>
        <w:numPr>
          <w:ilvl w:val="0"/>
          <w:numId w:val="1"/>
        </w:numPr>
      </w:pPr>
      <w:hyperlink r:id="rId106">
        <w:r>
          <w:rPr>
            <w:color w:val="1F4E79"/>
            <w:u w:val="single"/>
          </w:rPr>
          <w:t xml:space="preserve">Andromeda</w:t>
        </w:r>
      </w:hyperlink>
    </w:p>
    <w:p>
      <w:pPr>
        <w:pStyle w:val="ListParagraph"/>
        <w:numPr>
          <w:ilvl w:val="0"/>
          <w:numId w:val="1"/>
        </w:numPr>
      </w:pPr>
      <w:hyperlink r:id="rId107">
        <w:r>
          <w:rPr>
            <w:color w:val="1F4E79"/>
            <w:u w:val="single"/>
          </w:rPr>
          <w:t xml:space="preserve">Aquila</w:t>
        </w:r>
      </w:hyperlink>
    </w:p>
    <w:p>
      <w:pPr>
        <w:pStyle w:val="Heading2"/>
      </w:pPr>
      <w:hyperlink r:id="rId108">
        <w:r>
          <w:rPr>
            <w:color w:val="1F4E79"/>
            <w:u w:val="single"/>
          </w:rPr>
          <w:t xml:space="preserve">astronomy</w:t>
        </w:r>
      </w:hyperlink>
    </w:p>
    <w:p>
      <w:pPr>
        <w:pStyle w:val="ListParagraph"/>
        <w:numPr>
          <w:ilvl w:val="0"/>
          <w:numId w:val="1"/>
        </w:numPr>
      </w:pPr>
      <w:hyperlink r:id="rId109">
        <w:r>
          <w:rPr>
            <w:color w:val="1F4E79"/>
            <w:u w:val="single"/>
          </w:rPr>
          <w:t xml:space="preserve">Perseus</w:t>
        </w:r>
      </w:hyperlink>
    </w:p>
    <w:p>
      <w:pPr>
        <w:pStyle w:val="ListParagraph"/>
        <w:numPr>
          <w:ilvl w:val="0"/>
          <w:numId w:val="1"/>
        </w:numPr>
      </w:pPr>
      <w:hyperlink r:id="rId110">
        <w:r>
          <w:rPr>
            <w:color w:val="1F4E79"/>
            <w:u w:val="single"/>
          </w:rPr>
          <w:t xml:space="preserve">Corvus</w:t>
        </w:r>
      </w:hyperlink>
    </w:p>
    <w:p>
      <w:pPr>
        <w:pStyle w:val="ListParagraph"/>
        <w:numPr>
          <w:ilvl w:val="0"/>
          <w:numId w:val="1"/>
        </w:numPr>
      </w:pPr>
      <w:hyperlink r:id="rId111">
        <w:r>
          <w:rPr>
            <w:color w:val="1F4E79"/>
            <w:u w:val="single"/>
          </w:rPr>
          <w:t xml:space="preserve">Auriga</w:t>
        </w:r>
      </w:hyperlink>
    </w:p>
    <w:p>
      <w:pPr>
        <w:pStyle w:val="ListParagraph"/>
        <w:numPr>
          <w:ilvl w:val="0"/>
          <w:numId w:val="1"/>
        </w:numPr>
      </w:pPr>
      <w:hyperlink r:id="rId112">
        <w:r>
          <w:rPr>
            <w:color w:val="1F4E79"/>
            <w:u w:val="single"/>
          </w:rPr>
          <w:t xml:space="preserve">Cancer</w:t>
        </w:r>
      </w:hyperlink>
    </w:p>
    <w:p>
      <w:pPr>
        <w:pStyle w:val="ListParagraph"/>
        <w:numPr>
          <w:ilvl w:val="0"/>
          <w:numId w:val="1"/>
        </w:numPr>
      </w:pPr>
      <w:hyperlink r:id="rId113">
        <w:r>
          <w:rPr>
            <w:color w:val="1F4E79"/>
            <w:u w:val="single"/>
          </w:rPr>
          <w:t xml:space="preserve">Canis Major</w:t>
        </w:r>
      </w:hyperlink>
    </w:p>
    <w:p>
      <w:pPr>
        <w:pStyle w:val="ListParagraph"/>
        <w:numPr>
          <w:ilvl w:val="0"/>
          <w:numId w:val="1"/>
        </w:numPr>
      </w:pPr>
      <w:hyperlink r:id="rId114">
        <w:r>
          <w:rPr>
            <w:color w:val="1F4E79"/>
            <w:u w:val="single"/>
          </w:rPr>
          <w:t xml:space="preserve">Delphinus</w:t>
        </w:r>
      </w:hyperlink>
    </w:p>
    <w:p>
      <w:pPr>
        <w:pStyle w:val="Heading2"/>
      </w:pPr>
      <w:hyperlink r:id="rId115">
        <w:r>
          <w:rPr>
            <w:color w:val="1F4E79"/>
            <w:u w:val="single"/>
          </w:rPr>
          <w:t xml:space="preserve">constellations</w:t>
        </w:r>
      </w:hyperlink>
    </w:p>
    <w:p>
      <w:pPr>
        <w:pStyle w:val="ListParagraph"/>
        <w:numPr>
          <w:ilvl w:val="0"/>
          <w:numId w:val="1"/>
        </w:numPr>
      </w:pPr>
      <w:hyperlink r:id="rId116">
        <w:r>
          <w:rPr>
            <w:color w:val="1F4E79"/>
            <w:u w:val="single"/>
          </w:rPr>
          <w:t xml:space="preserve">Draco</w:t>
        </w:r>
      </w:hyperlink>
    </w:p>
    <w:p>
      <w:pPr>
        <w:pStyle w:val="ListParagraph"/>
        <w:numPr>
          <w:ilvl w:val="0"/>
          <w:numId w:val="1"/>
        </w:numPr>
      </w:pPr>
      <w:hyperlink r:id="rId117">
        <w:r>
          <w:rPr>
            <w:color w:val="1F4E79"/>
            <w:u w:val="single"/>
          </w:rPr>
          <w:t xml:space="preserve">Gemini</w:t>
        </w:r>
      </w:hyperlink>
    </w:p>
    <w:p>
      <w:pPr>
        <w:pStyle w:val="ListParagraph"/>
        <w:numPr>
          <w:ilvl w:val="0"/>
          <w:numId w:val="1"/>
        </w:numPr>
      </w:pPr>
      <w:hyperlink r:id="rId118">
        <w:r>
          <w:rPr>
            <w:color w:val="1F4E79"/>
            <w:u w:val="single"/>
          </w:rPr>
          <w:t xml:space="preserve">Orion</w:t>
        </w:r>
      </w:hyperlink>
    </w:p>
    <w:p>
      <w:pPr>
        <w:pStyle w:val="ListParagraph"/>
        <w:numPr>
          <w:ilvl w:val="0"/>
          <w:numId w:val="1"/>
        </w:numPr>
      </w:pPr>
      <w:hyperlink r:id="rId119">
        <w:r>
          <w:rPr>
            <w:color w:val="1F4E79"/>
            <w:u w:val="single"/>
          </w:rPr>
          <w:t xml:space="preserve">Pegasus</w:t>
        </w:r>
      </w:hyperlink>
    </w:p>
    <w:p>
      <w:pPr>
        <w:pStyle w:val="ListParagraph"/>
        <w:numPr>
          <w:ilvl w:val="0"/>
          <w:numId w:val="1"/>
        </w:numPr>
      </w:pPr>
      <w:hyperlink r:id="rId120">
        <w:r>
          <w:rPr>
            <w:color w:val="1F4E79"/>
            <w:u w:val="single"/>
          </w:rPr>
          <w:t xml:space="preserve">Aries</w:t>
        </w:r>
      </w:hyperlink>
    </w:p>
    <w:p>
      <w:pPr>
        <w:pStyle w:val="ListParagraph"/>
        <w:numPr>
          <w:ilvl w:val="0"/>
          <w:numId w:val="1"/>
        </w:numPr>
      </w:pPr>
      <w:hyperlink r:id="rId121">
        <w:r>
          <w:rPr>
            <w:color w:val="1F4E79"/>
            <w:u w:val="single"/>
          </w:rPr>
          <w:t xml:space="preserve">Hercules</w:t>
        </w:r>
      </w:hyperlink>
    </w:p>
    <w:p>
      <w:pPr>
        <w:pStyle w:val="Heading2"/>
      </w:pPr>
      <w:hyperlink r:id="rId122">
        <w:r>
          <w:rPr>
            <w:color w:val="1F4E79"/>
            <w:u w:val="single"/>
          </w:rPr>
          <w:t xml:space="preserve">sky</w:t>
        </w:r>
      </w:hyperlink>
    </w:p>
    <w:p>
      <w:pPr>
        <w:pStyle w:val="ListParagraph"/>
        <w:numPr>
          <w:ilvl w:val="0"/>
          <w:numId w:val="1"/>
        </w:numPr>
      </w:pPr>
      <w:hyperlink r:id="rId123">
        <w:r>
          <w:rPr>
            <w:color w:val="1F4E79"/>
            <w:u w:val="single"/>
          </w:rPr>
          <w:t xml:space="preserve">Sagittarius</w:t>
        </w:r>
      </w:hyperlink>
    </w:p>
    <w:p>
      <w:pPr>
        <w:pStyle w:val="ListParagraph"/>
        <w:numPr>
          <w:ilvl w:val="0"/>
          <w:numId w:val="1"/>
        </w:numPr>
      </w:pPr>
      <w:hyperlink r:id="rId124">
        <w:r>
          <w:rPr>
            <w:color w:val="1F4E79"/>
            <w:u w:val="single"/>
          </w:rPr>
          <w:t xml:space="preserve">Virgo</w:t>
        </w:r>
      </w:hyperlink>
    </w:p>
    <w:p>
      <w:pPr>
        <w:pStyle w:val="ListParagraph"/>
        <w:numPr>
          <w:ilvl w:val="0"/>
          <w:numId w:val="1"/>
        </w:numPr>
      </w:pPr>
      <w:hyperlink r:id="rId125">
        <w:r>
          <w:rPr>
            <w:color w:val="1F4E79"/>
            <w:u w:val="single"/>
          </w:rPr>
          <w:t xml:space="preserve">Leo</w:t>
        </w:r>
      </w:hyperlink>
    </w:p>
    <w:p>
      <w:pPr>
        <w:pStyle w:val="ListParagraph"/>
        <w:numPr>
          <w:ilvl w:val="0"/>
          <w:numId w:val="1"/>
        </w:numPr>
      </w:pPr>
      <w:hyperlink r:id="rId126">
        <w:r>
          <w:rPr>
            <w:color w:val="1F4E79"/>
            <w:u w:val="single"/>
          </w:rPr>
          <w:t xml:space="preserve">Taurus</w:t>
        </w:r>
      </w:hyperlink>
    </w:p>
    <w:p>
      <w:pPr>
        <w:pStyle w:val="ListParagraph"/>
        <w:numPr>
          <w:ilvl w:val="0"/>
          <w:numId w:val="1"/>
        </w:numPr>
      </w:pPr>
      <w:hyperlink r:id="rId127">
        <w:r>
          <w:rPr>
            <w:color w:val="1F4E79"/>
            <w:u w:val="single"/>
          </w:rPr>
          <w:t xml:space="preserve">Cepheus</w:t>
        </w:r>
      </w:hyperlink>
    </w:p>
    <w:p>
      <w:pPr>
        <w:pStyle w:val="ListParagraph"/>
        <w:numPr>
          <w:ilvl w:val="0"/>
          <w:numId w:val="1"/>
        </w:numPr>
      </w:pPr>
      <w:hyperlink r:id="rId128">
        <w:r>
          <w:rPr>
            <w:color w:val="1F4E79"/>
            <w:u w:val="single"/>
          </w:rPr>
          <w:t xml:space="preserve">Ursa Major</w:t>
        </w:r>
      </w:hyperlink>
    </w:p>
    <w:p>
      <w:pPr>
        <w:pStyle w:val="Heading1"/>
      </w:pPr>
      <w:r>
        <w:t xml:space="preserve">Scorpius</w:t>
      </w:r>
    </w:p>
    <w:p>
      <w:r>
        <w:t xml:space="preserve">This is the constellation, and its name is the first thing worth sorting out. The zodiac sign is </w:t>
      </w:r>
      <w:hyperlink r:id="rId129">
        <w:r>
          <w:rPr>
            <w:color w:val="1F4E79"/>
            <w:u w:val="single"/>
          </w:rPr>
          <w:t xml:space="preserve">Scorpio</w:t>
        </w:r>
      </w:hyperlink>
      <w:r>
        <w:t xml:space="preserve"> — Latin </w:t>
      </w:r>
      <w:r>
        <w:rPr>
          <w:i/>
        </w:rPr>
        <w:t xml:space="preserve">scorpio, scorpiōnis</w:t>
      </w:r>
      <w:r>
        <w:t xml:space="preserve"> — while astronomy keeps a different, equally classical Latin form, </w:t>
      </w:r>
      <w:r>
        <w:rPr>
          <w:i/>
        </w:rPr>
        <w:t xml:space="preserve">scorpius, scorpiī</w:t>
      </w:r>
      <w:r>
        <w:t xml:space="preserve">, for the actual stars. Both are genuine Latin words for the same creature; the sign kept one declension and the constellation kept the other, and the split has nothing to do with which is more correct. What the sign and the constellation don't share any more is a location: precession has carried tropical Scorpio about 24 degrees away from these stars, so the Sun is only ever in front of the constellation Scorpius for about a week in late November. Scorpius itself is one of the few constellations that looks like what it's named for — a hooked question-mark of bright stars curling down and back up into a real sting — with the red supergiant </w:t>
      </w:r>
      <w:r>
        <w:rPr>
          <w:b/>
        </w:rPr>
        <w:t xml:space="preserve">Antares</w:t>
      </w:r>
      <w:r>
        <w:t xml:space="preserve"> burning at its heart like a coal.</w:t>
      </w:r>
    </w:p>
    <w:p>
      <w:pPr>
        <w:pStyle w:val="Heading2"/>
      </w:pPr>
      <w:r>
        <w:t xml:space="preserve">Finding it</w:t>
      </w:r>
    </w:p>
    <w:p>
      <w:r>
        <w:t xml:space="preserve">Look south on a summer evening, low. Antares gives it away: a distinctly orange-red first-magnitude star sitting more or less alone, with Dschubba and the claws curving up and to its right (west) and the long hooked body and tail running down and to its left (east) toward Sagittarius. Scorpius is a summer constellation from Ohio, best placed roughly June through August, highest due south — which for Scorpius is never very high — around late July.</w:t>
      </w:r>
    </w:p>
    <w:p>
      <w:r>
        <w:t xml:space="preserve">This is the constellation in this set that fights the horizon hardest from 40°N. A star's best altitude, at the moment it crosses the meridian, works out to 90° minus your latitude plus its declination. Antares (declination −26°) tops out around 24° up: low, but workable on any clear night. The claws, Dschubba and Acrab, do a bit better, 27–30°. The tail is where it falls apart. Shaula and Lesath, the sting itself, crest at only about 13°. Sargas and Eta, at the base of the tail's upward hook — stars the site's own chart carries all the way down to declination −43° — top out at barely 7°. The constellation's formal boundary reaches a little further south still, to around declination −45°, which at this latitude works out to roughly 5° of altitude: for practical purposes below the horizon for almost anyone in central Ohio, lost to ground haze and obstructions even on a clear night. That's why so few people here have actually picked out the sting: it never clears the murk near the horizon by much. You need a genuinely open, dark southern horizon, and even then it's a short window around culmination.</w:t>
      </w:r>
    </w:p>
    <w:p>
      <w:pPr>
        <w:pStyle w:val="Heading2"/>
      </w:pPr>
      <w:r>
        <w:t xml:space="preserve">The stars</w:t>
      </w:r>
    </w:p>
    <w:tbl>
      <w:tblPr>
        <w:tblStyle w:val="TableGrid"/>
        <w:tblW w:w="0" w:type="auto"/>
      </w:tblPr>
      <w:tblGrid>
        <w:gridCol w:w="2400"/>
        <w:gridCol w:w="2400"/>
        <w:gridCol w:w="2400"/>
        <w:gridCol w:w="2400"/>
        <w:gridCol w:w="2400"/>
        <w:gridCol w:w="2400"/>
        <w:gridCol w:w="2400"/>
        <w:gridCol w:w="2400"/>
      </w:tblGrid>
      <w:tr>
        <w:trPr>
          <w:tblHeader/>
        </w:trPr>
        <w:tc>
          <w:tcPr>
            <w:tcW w:w="2400" w:type="dxa"/>
          </w:tcPr>
          <w:p>
            <w:pPr>
              <w:pStyle w:val="TableText"/>
            </w:pPr>
            <w:r>
              <w:rPr>
                <w:b/>
              </w:rPr>
              <w:t xml:space="preserve">Star</w:t>
            </w:r>
          </w:p>
        </w:tc>
        <w:tc>
          <w:tcPr>
            <w:tcW w:w="2400" w:type="dxa"/>
          </w:tcPr>
          <w:p>
            <w:pPr>
              <w:pStyle w:val="TableText"/>
            </w:pPr>
            <w:r>
              <w:rPr>
                <w:b/>
              </w:rPr>
              <w:t xml:space="preserve">Bayer</w:t>
            </w:r>
          </w:p>
        </w:tc>
        <w:tc>
          <w:tcPr>
            <w:tcW w:w="2400" w:type="dxa"/>
          </w:tcPr>
          <w:p>
            <w:pPr>
              <w:pStyle w:val="TableText"/>
            </w:pPr>
            <w:r>
              <w:rPr>
                <w:b/>
              </w:rPr>
              <w:t xml:space="preserve">RA (h)</w:t>
            </w:r>
          </w:p>
        </w:tc>
        <w:tc>
          <w:tcPr>
            <w:tcW w:w="2400" w:type="dxa"/>
          </w:tcPr>
          <w:p>
            <w:pPr>
              <w:pStyle w:val="TableText"/>
            </w:pPr>
            <w:r>
              <w:rPr>
                <w:b/>
              </w:rPr>
              <w:t xml:space="preserve">Dec (°)</w:t>
            </w:r>
          </w:p>
        </w:tc>
        <w:tc>
          <w:tcPr>
            <w:tcW w:w="2400" w:type="dxa"/>
          </w:tcPr>
          <w:p>
            <w:pPr>
              <w:pStyle w:val="TableText"/>
            </w:pPr>
            <w:r>
              <w:rPr>
                <w:b/>
              </w:rPr>
              <w:t xml:space="preserve">Mag</w:t>
            </w:r>
          </w:p>
        </w:tc>
        <w:tc>
          <w:tcPr>
            <w:tcW w:w="2400" w:type="dxa"/>
          </w:tcPr>
          <w:p>
            <w:pPr>
              <w:pStyle w:val="TableText"/>
            </w:pPr>
            <w:r>
              <w:rPr>
                <w:b/>
              </w:rPr>
              <w:t xml:space="preserve">Distance</w:t>
            </w:r>
          </w:p>
        </w:tc>
        <w:tc>
          <w:tcPr>
            <w:tcW w:w="2400" w:type="dxa"/>
          </w:tcPr>
          <w:p>
            <w:pPr>
              <w:pStyle w:val="TableText"/>
            </w:pPr>
            <w:r>
              <w:rPr>
                <w:b/>
              </w:rPr>
              <w:t xml:space="preserve">Spectral type</w:t>
            </w:r>
          </w:p>
        </w:tc>
        <w:tc>
          <w:tcPr>
            <w:tcW w:w="2400" w:type="dxa"/>
          </w:tcPr>
          <w:p>
            <w:pPr>
              <w:pStyle w:val="TableText"/>
            </w:pPr>
            <w:r>
              <w:rPr>
                <w:b/>
              </w:rPr>
              <w:t xml:space="preserve">Name</w:t>
            </w:r>
          </w:p>
        </w:tc>
      </w:tr>
      <w:tr>
        <w:tc>
          <w:tcPr>
            <w:tcW w:w="2400" w:type="dxa"/>
          </w:tcPr>
          <w:p>
            <w:pPr>
              <w:pStyle w:val="TableText"/>
            </w:pPr>
            <w:r>
              <w:t xml:space="preserve">Antares</w:t>
            </w:r>
          </w:p>
        </w:tc>
        <w:tc>
          <w:tcPr>
            <w:tcW w:w="2400" w:type="dxa"/>
          </w:tcPr>
          <w:p>
            <w:pPr>
              <w:pStyle w:val="TableText"/>
            </w:pPr>
            <w:r>
              <w:t xml:space="preserve">α Sco</w:t>
            </w:r>
          </w:p>
        </w:tc>
        <w:tc>
          <w:tcPr>
            <w:tcW w:w="2400" w:type="dxa"/>
          </w:tcPr>
          <w:p>
            <w:pPr>
              <w:pStyle w:val="TableText"/>
            </w:pPr>
            <w:r>
              <w:t xml:space="preserve">16.490</w:t>
            </w:r>
          </w:p>
        </w:tc>
        <w:tc>
          <w:tcPr>
            <w:tcW w:w="2400" w:type="dxa"/>
          </w:tcPr>
          <w:p>
            <w:pPr>
              <w:pStyle w:val="TableText"/>
            </w:pPr>
            <w:r>
              <w:t xml:space="preserve">−26.43</w:t>
            </w:r>
          </w:p>
        </w:tc>
        <w:tc>
          <w:tcPr>
            <w:tcW w:w="2400" w:type="dxa"/>
          </w:tcPr>
          <w:p>
            <w:pPr>
              <w:pStyle w:val="TableText"/>
            </w:pPr>
            <w:r>
              <w:t xml:space="preserve">1.06</w:t>
            </w:r>
          </w:p>
        </w:tc>
        <w:tc>
          <w:tcPr>
            <w:tcW w:w="2400" w:type="dxa"/>
          </w:tcPr>
          <w:p>
            <w:pPr>
              <w:pStyle w:val="TableText"/>
            </w:pPr>
            <w:r>
              <w:t xml:space="preserve">~550 ly</w:t>
            </w:r>
          </w:p>
        </w:tc>
        <w:tc>
          <w:tcPr>
            <w:tcW w:w="2400" w:type="dxa"/>
          </w:tcPr>
          <w:p>
            <w:pPr>
              <w:pStyle w:val="TableText"/>
            </w:pPr>
            <w:r>
              <w:t xml:space="preserve">M1.5 Iab-Ib (red supergiant)</w:t>
            </w:r>
          </w:p>
        </w:tc>
        <w:tc>
          <w:tcPr>
            <w:tcW w:w="2400" w:type="dxa"/>
          </w:tcPr>
          <w:p>
            <w:pPr>
              <w:pStyle w:val="TableText"/>
            </w:pPr>
            <w:r>
              <w:t xml:space="preserve">Greek </w:t>
            </w:r>
            <w:r>
              <w:rPr>
                <w:i/>
              </w:rPr>
              <w:t xml:space="preserve">Antarēs</w:t>
            </w:r>
            <w:r>
              <w:t xml:space="preserve">, "rival of Ares [Mars]"</w:t>
            </w:r>
          </w:p>
        </w:tc>
      </w:tr>
      <w:tr>
        <w:tc>
          <w:tcPr>
            <w:tcW w:w="2400" w:type="dxa"/>
          </w:tcPr>
          <w:p>
            <w:pPr>
              <w:pStyle w:val="TableText"/>
            </w:pPr>
            <w:r>
              <w:t xml:space="preserve">Acrab (Graffias)</w:t>
            </w:r>
          </w:p>
        </w:tc>
        <w:tc>
          <w:tcPr>
            <w:tcW w:w="2400" w:type="dxa"/>
          </w:tcPr>
          <w:p>
            <w:pPr>
              <w:pStyle w:val="TableText"/>
            </w:pPr>
            <w:r>
              <w:t xml:space="preserve">β Sco</w:t>
            </w:r>
          </w:p>
        </w:tc>
        <w:tc>
          <w:tcPr>
            <w:tcW w:w="2400" w:type="dxa"/>
          </w:tcPr>
          <w:p>
            <w:pPr>
              <w:pStyle w:val="TableText"/>
            </w:pPr>
            <w:r>
              <w:t xml:space="preserve">16.090</w:t>
            </w:r>
          </w:p>
        </w:tc>
        <w:tc>
          <w:tcPr>
            <w:tcW w:w="2400" w:type="dxa"/>
          </w:tcPr>
          <w:p>
            <w:pPr>
              <w:pStyle w:val="TableText"/>
            </w:pPr>
            <w:r>
              <w:t xml:space="preserve">−19.81</w:t>
            </w:r>
          </w:p>
        </w:tc>
        <w:tc>
          <w:tcPr>
            <w:tcW w:w="2400" w:type="dxa"/>
          </w:tcPr>
          <w:p>
            <w:pPr>
              <w:pStyle w:val="TableText"/>
            </w:pPr>
            <w:r>
              <w:t xml:space="preserve">2.62</w:t>
            </w:r>
          </w:p>
        </w:tc>
        <w:tc>
          <w:tcPr>
            <w:tcW w:w="2400" w:type="dxa"/>
          </w:tcPr>
          <w:p>
            <w:pPr>
              <w:pStyle w:val="TableText"/>
            </w:pPr>
            <w:r>
              <w:t xml:space="preserve">~400 ly</w:t>
            </w:r>
          </w:p>
        </w:tc>
        <w:tc>
          <w:tcPr>
            <w:tcW w:w="2400" w:type="dxa"/>
          </w:tcPr>
          <w:p>
            <w:pPr>
              <w:pStyle w:val="TableText"/>
            </w:pPr>
            <w:r>
              <w:t xml:space="preserve">B0.5 IV-V</w:t>
            </w:r>
          </w:p>
        </w:tc>
        <w:tc>
          <w:tcPr>
            <w:tcW w:w="2400" w:type="dxa"/>
          </w:tcPr>
          <w:p>
            <w:pPr>
              <w:pStyle w:val="TableText"/>
            </w:pPr>
            <w:r>
              <w:t xml:space="preserve">Acrab: Arabic </w:t>
            </w:r>
            <w:r>
              <w:rPr>
                <w:i/>
              </w:rPr>
              <w:t xml:space="preserve">al-ʽaqrab</w:t>
            </w:r>
            <w:r>
              <w:t xml:space="preserve">, "the scorpion"; Graffias: Italian, "the claws"</w:t>
            </w:r>
          </w:p>
        </w:tc>
      </w:tr>
      <w:tr>
        <w:tc>
          <w:tcPr>
            <w:tcW w:w="2400" w:type="dxa"/>
          </w:tcPr>
          <w:p>
            <w:pPr>
              <w:pStyle w:val="TableText"/>
            </w:pPr>
            <w:r>
              <w:t xml:space="preserve">Dschubba</w:t>
            </w:r>
          </w:p>
        </w:tc>
        <w:tc>
          <w:tcPr>
            <w:tcW w:w="2400" w:type="dxa"/>
          </w:tcPr>
          <w:p>
            <w:pPr>
              <w:pStyle w:val="TableText"/>
            </w:pPr>
            <w:r>
              <w:t xml:space="preserve">δ Sco</w:t>
            </w:r>
          </w:p>
        </w:tc>
        <w:tc>
          <w:tcPr>
            <w:tcW w:w="2400" w:type="dxa"/>
          </w:tcPr>
          <w:p>
            <w:pPr>
              <w:pStyle w:val="TableText"/>
            </w:pPr>
            <w:r>
              <w:t xml:space="preserve">16.005</w:t>
            </w:r>
          </w:p>
        </w:tc>
        <w:tc>
          <w:tcPr>
            <w:tcW w:w="2400" w:type="dxa"/>
          </w:tcPr>
          <w:p>
            <w:pPr>
              <w:pStyle w:val="TableText"/>
            </w:pPr>
            <w:r>
              <w:t xml:space="preserve">−22.62</w:t>
            </w:r>
          </w:p>
        </w:tc>
        <w:tc>
          <w:tcPr>
            <w:tcW w:w="2400" w:type="dxa"/>
          </w:tcPr>
          <w:p>
            <w:pPr>
              <w:pStyle w:val="TableText"/>
            </w:pPr>
            <w:r>
              <w:t xml:space="preserve">2.29</w:t>
            </w:r>
          </w:p>
        </w:tc>
        <w:tc>
          <w:tcPr>
            <w:tcW w:w="2400" w:type="dxa"/>
          </w:tcPr>
          <w:p>
            <w:pPr>
              <w:pStyle w:val="TableText"/>
            </w:pPr>
            <w:r>
              <w:t xml:space="preserve">~444 ly</w:t>
            </w:r>
          </w:p>
        </w:tc>
        <w:tc>
          <w:tcPr>
            <w:tcW w:w="2400" w:type="dxa"/>
          </w:tcPr>
          <w:p>
            <w:pPr>
              <w:pStyle w:val="TableText"/>
            </w:pPr>
            <w:r>
              <w:t xml:space="preserve">B0.3 IV</w:t>
            </w:r>
          </w:p>
        </w:tc>
        <w:tc>
          <w:tcPr>
            <w:tcW w:w="2400" w:type="dxa"/>
          </w:tcPr>
          <w:p>
            <w:pPr>
              <w:pStyle w:val="TableText"/>
            </w:pPr>
            <w:r>
              <w:t xml:space="preserve">Arabic, "the forehead"</w:t>
            </w:r>
          </w:p>
        </w:tc>
      </w:tr>
      <w:tr>
        <w:tc>
          <w:tcPr>
            <w:tcW w:w="2400" w:type="dxa"/>
          </w:tcPr>
          <w:p>
            <w:pPr>
              <w:pStyle w:val="TableText"/>
            </w:pPr>
            <w:r>
              <w:t xml:space="preserve">Fang</w:t>
            </w:r>
          </w:p>
        </w:tc>
        <w:tc>
          <w:tcPr>
            <w:tcW w:w="2400" w:type="dxa"/>
          </w:tcPr>
          <w:p>
            <w:pPr>
              <w:pStyle w:val="TableText"/>
            </w:pPr>
            <w:r>
              <w:t xml:space="preserve">π Sco</w:t>
            </w:r>
          </w:p>
        </w:tc>
        <w:tc>
          <w:tcPr>
            <w:tcW w:w="2400" w:type="dxa"/>
          </w:tcPr>
          <w:p>
            <w:pPr>
              <w:pStyle w:val="TableText"/>
            </w:pPr>
            <w:r>
              <w:t xml:space="preserve">15.982</w:t>
            </w:r>
          </w:p>
        </w:tc>
        <w:tc>
          <w:tcPr>
            <w:tcW w:w="2400" w:type="dxa"/>
          </w:tcPr>
          <w:p>
            <w:pPr>
              <w:pStyle w:val="TableText"/>
            </w:pPr>
            <w:r>
              <w:t xml:space="preserve">−26.11</w:t>
            </w:r>
          </w:p>
        </w:tc>
        <w:tc>
          <w:tcPr>
            <w:tcW w:w="2400" w:type="dxa"/>
          </w:tcPr>
          <w:p>
            <w:pPr>
              <w:pStyle w:val="TableText"/>
            </w:pPr>
            <w:r>
              <w:t xml:space="preserve">2.89</w:t>
            </w:r>
          </w:p>
        </w:tc>
        <w:tc>
          <w:tcPr>
            <w:tcW w:w="2400" w:type="dxa"/>
          </w:tcPr>
          <w:p>
            <w:pPr>
              <w:pStyle w:val="TableText"/>
            </w:pPr>
            <w:r>
              <w:t xml:space="preserve">~590 ly</w:t>
            </w:r>
          </w:p>
        </w:tc>
        <w:tc>
          <w:tcPr>
            <w:tcW w:w="2400" w:type="dxa"/>
          </w:tcPr>
          <w:p>
            <w:pPr>
              <w:pStyle w:val="TableText"/>
            </w:pPr>
            <w:r>
              <w:t xml:space="preserve">B1 V + B2 V</w:t>
            </w:r>
          </w:p>
        </w:tc>
        <w:tc>
          <w:tcPr>
            <w:tcW w:w="2400" w:type="dxa"/>
          </w:tcPr>
          <w:p>
            <w:pPr>
              <w:pStyle w:val="TableText"/>
            </w:pPr>
            <w:r>
              <w:t xml:space="preserve">—</w:t>
            </w:r>
          </w:p>
        </w:tc>
      </w:tr>
      <w:tr>
        <w:tc>
          <w:tcPr>
            <w:tcW w:w="2400" w:type="dxa"/>
          </w:tcPr>
          <w:p>
            <w:pPr>
              <w:pStyle w:val="TableText"/>
            </w:pPr>
            <w:r>
              <w:t xml:space="preserve">Alniyat</w:t>
            </w:r>
          </w:p>
        </w:tc>
        <w:tc>
          <w:tcPr>
            <w:tcW w:w="2400" w:type="dxa"/>
          </w:tcPr>
          <w:p>
            <w:pPr>
              <w:pStyle w:val="TableText"/>
            </w:pPr>
            <w:r>
              <w:t xml:space="preserve">σ Sco</w:t>
            </w:r>
          </w:p>
        </w:tc>
        <w:tc>
          <w:tcPr>
            <w:tcW w:w="2400" w:type="dxa"/>
          </w:tcPr>
          <w:p>
            <w:pPr>
              <w:pStyle w:val="TableText"/>
            </w:pPr>
            <w:r>
              <w:t xml:space="preserve">16.353</w:t>
            </w:r>
          </w:p>
        </w:tc>
        <w:tc>
          <w:tcPr>
            <w:tcW w:w="2400" w:type="dxa"/>
          </w:tcPr>
          <w:p>
            <w:pPr>
              <w:pStyle w:val="TableText"/>
            </w:pPr>
            <w:r>
              <w:t xml:space="preserve">−25.59</w:t>
            </w:r>
          </w:p>
        </w:tc>
        <w:tc>
          <w:tcPr>
            <w:tcW w:w="2400" w:type="dxa"/>
          </w:tcPr>
          <w:p>
            <w:pPr>
              <w:pStyle w:val="TableText"/>
            </w:pPr>
            <w:r>
              <w:t xml:space="preserve">2.89</w:t>
            </w:r>
          </w:p>
        </w:tc>
        <w:tc>
          <w:tcPr>
            <w:tcW w:w="2400" w:type="dxa"/>
          </w:tcPr>
          <w:p>
            <w:pPr>
              <w:pStyle w:val="TableText"/>
            </w:pPr>
            <w:r>
              <w:t xml:space="preserve">~568 ly</w:t>
            </w:r>
          </w:p>
        </w:tc>
        <w:tc>
          <w:tcPr>
            <w:tcW w:w="2400" w:type="dxa"/>
          </w:tcPr>
          <w:p>
            <w:pPr>
              <w:pStyle w:val="TableText"/>
            </w:pPr>
            <w:r>
              <w:t xml:space="preserve">B1 III</w:t>
            </w:r>
          </w:p>
        </w:tc>
        <w:tc>
          <w:tcPr>
            <w:tcW w:w="2400" w:type="dxa"/>
          </w:tcPr>
          <w:p>
            <w:pPr>
              <w:pStyle w:val="TableText"/>
            </w:pPr>
            <w:r>
              <w:t xml:space="preserve">Arabic, "the arteries"</w:t>
            </w:r>
          </w:p>
        </w:tc>
      </w:tr>
      <w:tr>
        <w:tc>
          <w:tcPr>
            <w:tcW w:w="2400" w:type="dxa"/>
          </w:tcPr>
          <w:p>
            <w:pPr>
              <w:pStyle w:val="TableText"/>
            </w:pPr>
            <w:r>
              <w:t xml:space="preserve">Paikauhale</w:t>
            </w:r>
          </w:p>
        </w:tc>
        <w:tc>
          <w:tcPr>
            <w:tcW w:w="2400" w:type="dxa"/>
          </w:tcPr>
          <w:p>
            <w:pPr>
              <w:pStyle w:val="TableText"/>
            </w:pPr>
            <w:r>
              <w:t xml:space="preserve">τ Sco</w:t>
            </w:r>
          </w:p>
        </w:tc>
        <w:tc>
          <w:tcPr>
            <w:tcW w:w="2400" w:type="dxa"/>
          </w:tcPr>
          <w:p>
            <w:pPr>
              <w:pStyle w:val="TableText"/>
            </w:pPr>
            <w:r>
              <w:t xml:space="preserve">16.598</w:t>
            </w:r>
          </w:p>
        </w:tc>
        <w:tc>
          <w:tcPr>
            <w:tcW w:w="2400" w:type="dxa"/>
          </w:tcPr>
          <w:p>
            <w:pPr>
              <w:pStyle w:val="TableText"/>
            </w:pPr>
            <w:r>
              <w:t xml:space="preserve">−28.22</w:t>
            </w:r>
          </w:p>
        </w:tc>
        <w:tc>
          <w:tcPr>
            <w:tcW w:w="2400" w:type="dxa"/>
          </w:tcPr>
          <w:p>
            <w:pPr>
              <w:pStyle w:val="TableText"/>
            </w:pPr>
            <w:r>
              <w:t xml:space="preserve">2.82</w:t>
            </w:r>
          </w:p>
        </w:tc>
        <w:tc>
          <w:tcPr>
            <w:tcW w:w="2400" w:type="dxa"/>
          </w:tcPr>
          <w:p>
            <w:pPr>
              <w:pStyle w:val="TableText"/>
            </w:pPr>
            <w:r>
              <w:t xml:space="preserve">~470 ly</w:t>
            </w:r>
          </w:p>
        </w:tc>
        <w:tc>
          <w:tcPr>
            <w:tcW w:w="2400" w:type="dxa"/>
          </w:tcPr>
          <w:p>
            <w:pPr>
              <w:pStyle w:val="TableText"/>
            </w:pPr>
            <w:r>
              <w:t xml:space="preserve">B0.2 V</w:t>
            </w:r>
          </w:p>
        </w:tc>
        <w:tc>
          <w:tcPr>
            <w:tcW w:w="2400" w:type="dxa"/>
          </w:tcPr>
          <w:p>
            <w:pPr>
              <w:pStyle w:val="TableText"/>
            </w:pPr>
            <w:r>
              <w:t xml:space="preserve">Hawaiian, "house-to-house wanderer" — IAU-approved 2018</w:t>
            </w:r>
          </w:p>
        </w:tc>
      </w:tr>
      <w:tr>
        <w:tc>
          <w:tcPr>
            <w:tcW w:w="2400" w:type="dxa"/>
          </w:tcPr>
          <w:p>
            <w:pPr>
              <w:pStyle w:val="TableText"/>
            </w:pPr>
            <w:r>
              <w:t xml:space="preserve">Larawag</w:t>
            </w:r>
          </w:p>
        </w:tc>
        <w:tc>
          <w:tcPr>
            <w:tcW w:w="2400" w:type="dxa"/>
          </w:tcPr>
          <w:p>
            <w:pPr>
              <w:pStyle w:val="TableText"/>
            </w:pPr>
            <w:r>
              <w:t xml:space="preserve">ε Sco</w:t>
            </w:r>
          </w:p>
        </w:tc>
        <w:tc>
          <w:tcPr>
            <w:tcW w:w="2400" w:type="dxa"/>
          </w:tcPr>
          <w:p>
            <w:pPr>
              <w:pStyle w:val="TableText"/>
            </w:pPr>
            <w:r>
              <w:t xml:space="preserve">16.836</w:t>
            </w:r>
          </w:p>
        </w:tc>
        <w:tc>
          <w:tcPr>
            <w:tcW w:w="2400" w:type="dxa"/>
          </w:tcPr>
          <w:p>
            <w:pPr>
              <w:pStyle w:val="TableText"/>
            </w:pPr>
            <w:r>
              <w:t xml:space="preserve">−34.29</w:t>
            </w:r>
          </w:p>
        </w:tc>
        <w:tc>
          <w:tcPr>
            <w:tcW w:w="2400" w:type="dxa"/>
          </w:tcPr>
          <w:p>
            <w:pPr>
              <w:pStyle w:val="TableText"/>
            </w:pPr>
            <w:r>
              <w:t xml:space="preserve">2.29</w:t>
            </w:r>
          </w:p>
        </w:tc>
        <w:tc>
          <w:tcPr>
            <w:tcW w:w="2400" w:type="dxa"/>
          </w:tcPr>
          <w:p>
            <w:pPr>
              <w:pStyle w:val="TableText"/>
            </w:pPr>
            <w:r>
              <w:t xml:space="preserve">~64 ly</w:t>
            </w:r>
          </w:p>
        </w:tc>
        <w:tc>
          <w:tcPr>
            <w:tcW w:w="2400" w:type="dxa"/>
          </w:tcPr>
          <w:p>
            <w:pPr>
              <w:pStyle w:val="TableText"/>
            </w:pPr>
            <w:r>
              <w:t xml:space="preserve">K1 III</w:t>
            </w:r>
          </w:p>
        </w:tc>
        <w:tc>
          <w:tcPr>
            <w:tcW w:w="2400" w:type="dxa"/>
          </w:tcPr>
          <w:p>
            <w:pPr>
              <w:pStyle w:val="TableText"/>
            </w:pPr>
            <w:r>
              <w:t xml:space="preserve">Wardaman (Aboriginal Australian), "clear sighting" — IAU-approved 2017</w:t>
            </w:r>
          </w:p>
        </w:tc>
      </w:tr>
      <w:tr>
        <w:tc>
          <w:tcPr>
            <w:tcW w:w="2400" w:type="dxa"/>
          </w:tcPr>
          <w:p>
            <w:pPr>
              <w:pStyle w:val="TableText"/>
            </w:pPr>
            <w:r>
              <w:t xml:space="preserve">μ¹ Scorpii</w:t>
            </w:r>
          </w:p>
        </w:tc>
        <w:tc>
          <w:tcPr>
            <w:tcW w:w="2400" w:type="dxa"/>
          </w:tcPr>
          <w:p>
            <w:pPr>
              <w:pStyle w:val="TableText"/>
            </w:pPr>
            <w:r>
              <w:t xml:space="preserve">μ Sco</w:t>
            </w:r>
          </w:p>
        </w:tc>
        <w:tc>
          <w:tcPr>
            <w:tcW w:w="2400" w:type="dxa"/>
          </w:tcPr>
          <w:p>
            <w:pPr>
              <w:pStyle w:val="TableText"/>
            </w:pPr>
            <w:r>
              <w:t xml:space="preserve">16.865</w:t>
            </w:r>
          </w:p>
        </w:tc>
        <w:tc>
          <w:tcPr>
            <w:tcW w:w="2400" w:type="dxa"/>
          </w:tcPr>
          <w:p>
            <w:pPr>
              <w:pStyle w:val="TableText"/>
            </w:pPr>
            <w:r>
              <w:t xml:space="preserve">−38.05</w:t>
            </w:r>
          </w:p>
        </w:tc>
        <w:tc>
          <w:tcPr>
            <w:tcW w:w="2400" w:type="dxa"/>
          </w:tcPr>
          <w:p>
            <w:pPr>
              <w:pStyle w:val="TableText"/>
            </w:pPr>
            <w:r>
              <w:t xml:space="preserve">3.00</w:t>
            </w:r>
          </w:p>
        </w:tc>
        <w:tc>
          <w:tcPr>
            <w:tcW w:w="2400" w:type="dxa"/>
          </w:tcPr>
          <w:p>
            <w:pPr>
              <w:pStyle w:val="TableText"/>
            </w:pPr>
            <w:r>
              <w:t xml:space="preserve">~500 ly</w:t>
            </w:r>
          </w:p>
        </w:tc>
        <w:tc>
          <w:tcPr>
            <w:tcW w:w="2400" w:type="dxa"/>
          </w:tcPr>
          <w:p>
            <w:pPr>
              <w:pStyle w:val="TableText"/>
            </w:pPr>
            <w:r>
              <w:t xml:space="preserve">B1.5 V + B6.5 V</w:t>
            </w:r>
          </w:p>
        </w:tc>
        <w:tc>
          <w:tcPr>
            <w:tcW w:w="2400" w:type="dxa"/>
          </w:tcPr>
          <w:p>
            <w:pPr>
              <w:pStyle w:val="TableText"/>
            </w:pPr>
            <w:r>
              <w:t xml:space="preserve">—</w:t>
            </w:r>
          </w:p>
        </w:tc>
      </w:tr>
      <w:tr>
        <w:tc>
          <w:tcPr>
            <w:tcW w:w="2400" w:type="dxa"/>
          </w:tcPr>
          <w:p>
            <w:pPr>
              <w:pStyle w:val="TableText"/>
            </w:pPr>
            <w:r>
              <w:t xml:space="preserve">ζ² Scorpii</w:t>
            </w:r>
          </w:p>
        </w:tc>
        <w:tc>
          <w:tcPr>
            <w:tcW w:w="2400" w:type="dxa"/>
          </w:tcPr>
          <w:p>
            <w:pPr>
              <w:pStyle w:val="TableText"/>
            </w:pPr>
            <w:r>
              <w:t xml:space="preserve">ζ Sco</w:t>
            </w:r>
          </w:p>
        </w:tc>
        <w:tc>
          <w:tcPr>
            <w:tcW w:w="2400" w:type="dxa"/>
          </w:tcPr>
          <w:p>
            <w:pPr>
              <w:pStyle w:val="TableText"/>
            </w:pPr>
            <w:r>
              <w:t xml:space="preserve">16.910</w:t>
            </w:r>
          </w:p>
        </w:tc>
        <w:tc>
          <w:tcPr>
            <w:tcW w:w="2400" w:type="dxa"/>
          </w:tcPr>
          <w:p>
            <w:pPr>
              <w:pStyle w:val="TableText"/>
            </w:pPr>
            <w:r>
              <w:t xml:space="preserve">−42.36</w:t>
            </w:r>
          </w:p>
        </w:tc>
        <w:tc>
          <w:tcPr>
            <w:tcW w:w="2400" w:type="dxa"/>
          </w:tcPr>
          <w:p>
            <w:pPr>
              <w:pStyle w:val="TableText"/>
            </w:pPr>
            <w:r>
              <w:t xml:space="preserve">3.62</w:t>
            </w:r>
          </w:p>
        </w:tc>
        <w:tc>
          <w:tcPr>
            <w:tcW w:w="2400" w:type="dxa"/>
          </w:tcPr>
          <w:p>
            <w:pPr>
              <w:pStyle w:val="TableText"/>
            </w:pPr>
            <w:r>
              <w:t xml:space="preserve">~2,600 ly</w:t>
            </w:r>
          </w:p>
        </w:tc>
        <w:tc>
          <w:tcPr>
            <w:tcW w:w="2400" w:type="dxa"/>
          </w:tcPr>
          <w:p>
            <w:pPr>
              <w:pStyle w:val="TableText"/>
            </w:pPr>
            <w:r>
              <w:t xml:space="preserve">B1.5 Iae (blue supergiant)</w:t>
            </w:r>
          </w:p>
        </w:tc>
        <w:tc>
          <w:tcPr>
            <w:tcW w:w="2400" w:type="dxa"/>
          </w:tcPr>
          <w:p>
            <w:pPr>
              <w:pStyle w:val="TableText"/>
            </w:pPr>
            <w:r>
              <w:t xml:space="preserve">—</w:t>
            </w:r>
          </w:p>
        </w:tc>
      </w:tr>
      <w:tr>
        <w:tc>
          <w:tcPr>
            <w:tcW w:w="2400" w:type="dxa"/>
          </w:tcPr>
          <w:p>
            <w:pPr>
              <w:pStyle w:val="TableText"/>
            </w:pPr>
            <w:r>
              <w:t xml:space="preserve">η Scorpii</w:t>
            </w:r>
          </w:p>
        </w:tc>
        <w:tc>
          <w:tcPr>
            <w:tcW w:w="2400" w:type="dxa"/>
          </w:tcPr>
          <w:p>
            <w:pPr>
              <w:pStyle w:val="TableText"/>
            </w:pPr>
            <w:r>
              <w:t xml:space="preserve">η Sco</w:t>
            </w:r>
          </w:p>
        </w:tc>
        <w:tc>
          <w:tcPr>
            <w:tcW w:w="2400" w:type="dxa"/>
          </w:tcPr>
          <w:p>
            <w:pPr>
              <w:pStyle w:val="TableText"/>
            </w:pPr>
            <w:r>
              <w:t xml:space="preserve">17.203</w:t>
            </w:r>
          </w:p>
        </w:tc>
        <w:tc>
          <w:tcPr>
            <w:tcW w:w="2400" w:type="dxa"/>
          </w:tcPr>
          <w:p>
            <w:pPr>
              <w:pStyle w:val="TableText"/>
            </w:pPr>
            <w:r>
              <w:t xml:space="preserve">−43.24</w:t>
            </w:r>
          </w:p>
        </w:tc>
        <w:tc>
          <w:tcPr>
            <w:tcW w:w="2400" w:type="dxa"/>
          </w:tcPr>
          <w:p>
            <w:pPr>
              <w:pStyle w:val="TableText"/>
            </w:pPr>
            <w:r>
              <w:t xml:space="preserve">3.32</w:t>
            </w:r>
          </w:p>
        </w:tc>
        <w:tc>
          <w:tcPr>
            <w:tcW w:w="2400" w:type="dxa"/>
          </w:tcPr>
          <w:p>
            <w:pPr>
              <w:pStyle w:val="TableText"/>
            </w:pPr>
            <w:r>
              <w:t xml:space="preserve">~74 ly</w:t>
            </w:r>
          </w:p>
        </w:tc>
        <w:tc>
          <w:tcPr>
            <w:tcW w:w="2400" w:type="dxa"/>
          </w:tcPr>
          <w:p>
            <w:pPr>
              <w:pStyle w:val="TableText"/>
            </w:pPr>
            <w:r>
              <w:t xml:space="preserve">F5 IV</w:t>
            </w:r>
          </w:p>
        </w:tc>
        <w:tc>
          <w:tcPr>
            <w:tcW w:w="2400" w:type="dxa"/>
          </w:tcPr>
          <w:p>
            <w:pPr>
              <w:pStyle w:val="TableText"/>
            </w:pPr>
            <w:r>
              <w:t xml:space="preserve">—</w:t>
            </w:r>
          </w:p>
        </w:tc>
      </w:tr>
      <w:tr>
        <w:tc>
          <w:tcPr>
            <w:tcW w:w="2400" w:type="dxa"/>
          </w:tcPr>
          <w:p>
            <w:pPr>
              <w:pStyle w:val="TableText"/>
            </w:pPr>
            <w:r>
              <w:t xml:space="preserve">Sargas</w:t>
            </w:r>
          </w:p>
        </w:tc>
        <w:tc>
          <w:tcPr>
            <w:tcW w:w="2400" w:type="dxa"/>
          </w:tcPr>
          <w:p>
            <w:pPr>
              <w:pStyle w:val="TableText"/>
            </w:pPr>
            <w:r>
              <w:t xml:space="preserve">θ Sco</w:t>
            </w:r>
          </w:p>
        </w:tc>
        <w:tc>
          <w:tcPr>
            <w:tcW w:w="2400" w:type="dxa"/>
          </w:tcPr>
          <w:p>
            <w:pPr>
              <w:pStyle w:val="TableText"/>
            </w:pPr>
            <w:r>
              <w:t xml:space="preserve">17.622</w:t>
            </w:r>
          </w:p>
        </w:tc>
        <w:tc>
          <w:tcPr>
            <w:tcW w:w="2400" w:type="dxa"/>
          </w:tcPr>
          <w:p>
            <w:pPr>
              <w:pStyle w:val="TableText"/>
            </w:pPr>
            <w:r>
              <w:t xml:space="preserve">−43.00</w:t>
            </w:r>
          </w:p>
        </w:tc>
        <w:tc>
          <w:tcPr>
            <w:tcW w:w="2400" w:type="dxa"/>
          </w:tcPr>
          <w:p>
            <w:pPr>
              <w:pStyle w:val="TableText"/>
            </w:pPr>
            <w:r>
              <w:t xml:space="preserve">1.86</w:t>
            </w:r>
          </w:p>
        </w:tc>
        <w:tc>
          <w:tcPr>
            <w:tcW w:w="2400" w:type="dxa"/>
          </w:tcPr>
          <w:p>
            <w:pPr>
              <w:pStyle w:val="TableText"/>
            </w:pPr>
            <w:r>
              <w:t xml:space="preserve">~329 ly</w:t>
            </w:r>
          </w:p>
        </w:tc>
        <w:tc>
          <w:tcPr>
            <w:tcW w:w="2400" w:type="dxa"/>
          </w:tcPr>
          <w:p>
            <w:pPr>
              <w:pStyle w:val="TableText"/>
            </w:pPr>
            <w:r>
              <w:t xml:space="preserve">F1 III</w:t>
            </w:r>
          </w:p>
        </w:tc>
        <w:tc>
          <w:tcPr>
            <w:tcW w:w="2400" w:type="dxa"/>
          </w:tcPr>
          <w:p>
            <w:pPr>
              <w:pStyle w:val="TableText"/>
            </w:pPr>
            <w:r>
              <w:t xml:space="preserve">Sumerian origin; meaning not preserved</w:t>
            </w:r>
          </w:p>
        </w:tc>
      </w:tr>
      <w:tr>
        <w:tc>
          <w:tcPr>
            <w:tcW w:w="2400" w:type="dxa"/>
          </w:tcPr>
          <w:p>
            <w:pPr>
              <w:pStyle w:val="TableText"/>
            </w:pPr>
            <w:r>
              <w:t xml:space="preserve">ι¹ Scorpii</w:t>
            </w:r>
          </w:p>
        </w:tc>
        <w:tc>
          <w:tcPr>
            <w:tcW w:w="2400" w:type="dxa"/>
          </w:tcPr>
          <w:p>
            <w:pPr>
              <w:pStyle w:val="TableText"/>
            </w:pPr>
            <w:r>
              <w:t xml:space="preserve">ι Sco</w:t>
            </w:r>
          </w:p>
        </w:tc>
        <w:tc>
          <w:tcPr>
            <w:tcW w:w="2400" w:type="dxa"/>
          </w:tcPr>
          <w:p>
            <w:pPr>
              <w:pStyle w:val="TableText"/>
            </w:pPr>
            <w:r>
              <w:t xml:space="preserve">17.793</w:t>
            </w:r>
          </w:p>
        </w:tc>
        <w:tc>
          <w:tcPr>
            <w:tcW w:w="2400" w:type="dxa"/>
          </w:tcPr>
          <w:p>
            <w:pPr>
              <w:pStyle w:val="TableText"/>
            </w:pPr>
            <w:r>
              <w:t xml:space="preserve">−40.13</w:t>
            </w:r>
          </w:p>
        </w:tc>
        <w:tc>
          <w:tcPr>
            <w:tcW w:w="2400" w:type="dxa"/>
          </w:tcPr>
          <w:p>
            <w:pPr>
              <w:pStyle w:val="TableText"/>
            </w:pPr>
            <w:r>
              <w:t xml:space="preserve">3.03</w:t>
            </w:r>
          </w:p>
        </w:tc>
        <w:tc>
          <w:tcPr>
            <w:tcW w:w="2400" w:type="dxa"/>
          </w:tcPr>
          <w:p>
            <w:pPr>
              <w:pStyle w:val="TableText"/>
            </w:pPr>
            <w:r>
              <w:t xml:space="preserve">—</w:t>
            </w:r>
          </w:p>
        </w:tc>
        <w:tc>
          <w:tcPr>
            <w:tcW w:w="2400" w:type="dxa"/>
          </w:tcPr>
          <w:p>
            <w:pPr>
              <w:pStyle w:val="TableText"/>
            </w:pPr>
            <w:r>
              <w:t xml:space="preserve">F2 Ia (yellow supergiant)</w:t>
            </w:r>
          </w:p>
        </w:tc>
        <w:tc>
          <w:tcPr>
            <w:tcW w:w="2400" w:type="dxa"/>
          </w:tcPr>
          <w:p>
            <w:pPr>
              <w:pStyle w:val="TableText"/>
            </w:pPr>
            <w:r>
              <w:t xml:space="preserve">—</w:t>
            </w:r>
          </w:p>
        </w:tc>
      </w:tr>
      <w:tr>
        <w:tc>
          <w:tcPr>
            <w:tcW w:w="2400" w:type="dxa"/>
          </w:tcPr>
          <w:p>
            <w:pPr>
              <w:pStyle w:val="TableText"/>
            </w:pPr>
            <w:r>
              <w:t xml:space="preserve">Girtab</w:t>
            </w:r>
          </w:p>
        </w:tc>
        <w:tc>
          <w:tcPr>
            <w:tcW w:w="2400" w:type="dxa"/>
          </w:tcPr>
          <w:p>
            <w:pPr>
              <w:pStyle w:val="TableText"/>
            </w:pPr>
            <w:r>
              <w:t xml:space="preserve">κ Sco</w:t>
            </w:r>
          </w:p>
        </w:tc>
        <w:tc>
          <w:tcPr>
            <w:tcW w:w="2400" w:type="dxa"/>
          </w:tcPr>
          <w:p>
            <w:pPr>
              <w:pStyle w:val="TableText"/>
            </w:pPr>
            <w:r>
              <w:t xml:space="preserve">17.708</w:t>
            </w:r>
          </w:p>
        </w:tc>
        <w:tc>
          <w:tcPr>
            <w:tcW w:w="2400" w:type="dxa"/>
          </w:tcPr>
          <w:p>
            <w:pPr>
              <w:pStyle w:val="TableText"/>
            </w:pPr>
            <w:r>
              <w:t xml:space="preserve">−39.03</w:t>
            </w:r>
          </w:p>
        </w:tc>
        <w:tc>
          <w:tcPr>
            <w:tcW w:w="2400" w:type="dxa"/>
          </w:tcPr>
          <w:p>
            <w:pPr>
              <w:pStyle w:val="TableText"/>
            </w:pPr>
            <w:r>
              <w:t xml:space="preserve">2.39</w:t>
            </w:r>
          </w:p>
        </w:tc>
        <w:tc>
          <w:tcPr>
            <w:tcW w:w="2400" w:type="dxa"/>
          </w:tcPr>
          <w:p>
            <w:pPr>
              <w:pStyle w:val="TableText"/>
            </w:pPr>
            <w:r>
              <w:t xml:space="preserve">—</w:t>
            </w:r>
          </w:p>
        </w:tc>
        <w:tc>
          <w:tcPr>
            <w:tcW w:w="2400" w:type="dxa"/>
          </w:tcPr>
          <w:p>
            <w:pPr>
              <w:pStyle w:val="TableText"/>
            </w:pPr>
            <w:r>
              <w:t xml:space="preserve">B1.5 III</w:t>
            </w:r>
          </w:p>
        </w:tc>
        <w:tc>
          <w:tcPr>
            <w:tcW w:w="2400" w:type="dxa"/>
          </w:tcPr>
          <w:p>
            <w:pPr>
              <w:pStyle w:val="TableText"/>
            </w:pPr>
            <w:r>
              <w:t xml:space="preserve">Sumerian </w:t>
            </w:r>
            <w:r>
              <w:rPr>
                <w:i/>
              </w:rPr>
              <w:t xml:space="preserve">girtab</w:t>
            </w:r>
            <w:r>
              <w:t xml:space="preserve">, "scorpion" — the same word behind MUL.GIR.TAB</w:t>
            </w:r>
          </w:p>
        </w:tc>
      </w:tr>
      <w:tr>
        <w:tc>
          <w:tcPr>
            <w:tcW w:w="2400" w:type="dxa"/>
          </w:tcPr>
          <w:p>
            <w:pPr>
              <w:pStyle w:val="TableText"/>
            </w:pPr>
            <w:r>
              <w:t xml:space="preserve">Shaula</w:t>
            </w:r>
          </w:p>
        </w:tc>
        <w:tc>
          <w:tcPr>
            <w:tcW w:w="2400" w:type="dxa"/>
          </w:tcPr>
          <w:p>
            <w:pPr>
              <w:pStyle w:val="TableText"/>
            </w:pPr>
            <w:r>
              <w:t xml:space="preserve">λ Sco</w:t>
            </w:r>
          </w:p>
        </w:tc>
        <w:tc>
          <w:tcPr>
            <w:tcW w:w="2400" w:type="dxa"/>
          </w:tcPr>
          <w:p>
            <w:pPr>
              <w:pStyle w:val="TableText"/>
            </w:pPr>
            <w:r>
              <w:t xml:space="preserve">17.560</w:t>
            </w:r>
          </w:p>
        </w:tc>
        <w:tc>
          <w:tcPr>
            <w:tcW w:w="2400" w:type="dxa"/>
          </w:tcPr>
          <w:p>
            <w:pPr>
              <w:pStyle w:val="TableText"/>
            </w:pPr>
            <w:r>
              <w:t xml:space="preserve">−37.10</w:t>
            </w:r>
          </w:p>
        </w:tc>
        <w:tc>
          <w:tcPr>
            <w:tcW w:w="2400" w:type="dxa"/>
          </w:tcPr>
          <w:p>
            <w:pPr>
              <w:pStyle w:val="TableText"/>
            </w:pPr>
            <w:r>
              <w:t xml:space="preserve">1.62</w:t>
            </w:r>
          </w:p>
        </w:tc>
        <w:tc>
          <w:tcPr>
            <w:tcW w:w="2400" w:type="dxa"/>
          </w:tcPr>
          <w:p>
            <w:pPr>
              <w:pStyle w:val="TableText"/>
            </w:pPr>
            <w:r>
              <w:t xml:space="preserve">~570 ly</w:t>
            </w:r>
          </w:p>
        </w:tc>
        <w:tc>
          <w:tcPr>
            <w:tcW w:w="2400" w:type="dxa"/>
          </w:tcPr>
          <w:p>
            <w:pPr>
              <w:pStyle w:val="TableText"/>
            </w:pPr>
            <w:r>
              <w:t xml:space="preserve">B1.5 IV + B2 IV</w:t>
            </w:r>
          </w:p>
        </w:tc>
        <w:tc>
          <w:tcPr>
            <w:tcW w:w="2400" w:type="dxa"/>
          </w:tcPr>
          <w:p>
            <w:pPr>
              <w:pStyle w:val="TableText"/>
            </w:pPr>
            <w:r>
              <w:t xml:space="preserve">Arabic </w:t>
            </w:r>
            <w:r>
              <w:rPr>
                <w:i/>
              </w:rPr>
              <w:t xml:space="preserve">al-šawlāʼ</w:t>
            </w:r>
            <w:r>
              <w:t xml:space="preserve">, "the raised [tail]"</w:t>
            </w:r>
          </w:p>
        </w:tc>
      </w:tr>
      <w:tr>
        <w:tc>
          <w:tcPr>
            <w:tcW w:w="2400" w:type="dxa"/>
          </w:tcPr>
          <w:p>
            <w:pPr>
              <w:pStyle w:val="TableText"/>
            </w:pPr>
            <w:r>
              <w:t xml:space="preserve">Lesath</w:t>
            </w:r>
          </w:p>
        </w:tc>
        <w:tc>
          <w:tcPr>
            <w:tcW w:w="2400" w:type="dxa"/>
          </w:tcPr>
          <w:p>
            <w:pPr>
              <w:pStyle w:val="TableText"/>
            </w:pPr>
            <w:r>
              <w:t xml:space="preserve">υ Sco</w:t>
            </w:r>
          </w:p>
        </w:tc>
        <w:tc>
          <w:tcPr>
            <w:tcW w:w="2400" w:type="dxa"/>
          </w:tcPr>
          <w:p>
            <w:pPr>
              <w:pStyle w:val="TableText"/>
            </w:pPr>
            <w:r>
              <w:t xml:space="preserve">17.513</w:t>
            </w:r>
          </w:p>
        </w:tc>
        <w:tc>
          <w:tcPr>
            <w:tcW w:w="2400" w:type="dxa"/>
          </w:tcPr>
          <w:p>
            <w:pPr>
              <w:pStyle w:val="TableText"/>
            </w:pPr>
            <w:r>
              <w:t xml:space="preserve">−37.30</w:t>
            </w:r>
          </w:p>
        </w:tc>
        <w:tc>
          <w:tcPr>
            <w:tcW w:w="2400" w:type="dxa"/>
          </w:tcPr>
          <w:p>
            <w:pPr>
              <w:pStyle w:val="TableText"/>
            </w:pPr>
            <w:r>
              <w:t xml:space="preserve">2.69</w:t>
            </w:r>
          </w:p>
        </w:tc>
        <w:tc>
          <w:tcPr>
            <w:tcW w:w="2400" w:type="dxa"/>
          </w:tcPr>
          <w:p>
            <w:pPr>
              <w:pStyle w:val="TableText"/>
            </w:pPr>
            <w:r>
              <w:t xml:space="preserve">~580 ly</w:t>
            </w:r>
          </w:p>
        </w:tc>
        <w:tc>
          <w:tcPr>
            <w:tcW w:w="2400" w:type="dxa"/>
          </w:tcPr>
          <w:p>
            <w:pPr>
              <w:pStyle w:val="TableText"/>
            </w:pPr>
            <w:r>
              <w:t xml:space="preserve">B2 IV</w:t>
            </w:r>
          </w:p>
        </w:tc>
        <w:tc>
          <w:tcPr>
            <w:tcW w:w="2400" w:type="dxa"/>
          </w:tcPr>
          <w:p>
            <w:pPr>
              <w:pStyle w:val="TableText"/>
            </w:pPr>
            <w:r>
              <w:t xml:space="preserve">Arabic, originally "the foggy patch" — see below</w:t>
            </w:r>
          </w:p>
        </w:tc>
      </w:tr>
    </w:tbl>
    <w:p/>
    <w:p>
      <w:r>
        <w:t xml:space="preserve">Lesath's name is a documented mistake. The Arabic original, </w:t>
      </w:r>
      <w:r>
        <w:rPr>
          <w:i/>
        </w:rPr>
        <w:t xml:space="preserve">al lat-kha</w:t>
      </w:r>
      <w:r>
        <w:t xml:space="preserve">, "the foggy patch," described the naked-eye smudge sitting right next to the star — the open cluster now catalogued as M7. A 16th-century editor miscopied an earlier corruption of that name, "Alascha," into "Lesath," and the error stuck; later astronomers reinterpreted the result to mean "the sting or bite of a poisonous animal," which at least fits where the star sits. Either way, the "foggy patch" it was originally describing is real and worth finding on its own.</w:t>
      </w:r>
    </w:p>
    <w:p>
      <w:pPr>
        <w:pStyle w:val="Heading2"/>
      </w:pPr>
      <w:r>
        <w:t xml:space="preserve">Myth and history</w:t>
      </w:r>
    </w:p>
    <w:p>
      <w:r>
        <w:rPr>
          <w:b/>
        </w:rPr>
        <w:t xml:space="preserve">MUL.GIR.TAB</w:t>
      </w:r>
      <w:r>
        <w:t xml:space="preserve">, </w:t>
      </w:r>
      <w:r>
        <w:rPr>
          <w:i/>
        </w:rPr>
        <w:t xml:space="preserve">Girtab</w:t>
      </w:r>
      <w:r>
        <w:t xml:space="preserve">, "the Scorpion," is one of the oldest and most stable constellations in the Babylonian sky, tied to the goddess Ishhara; the </w:t>
      </w:r>
      <w:r>
        <w:rPr>
          <w:i/>
        </w:rPr>
        <w:t xml:space="preserve">girtablullû</w:t>
      </w:r>
      <w:r>
        <w:t xml:space="preserve">, scorpion-men, guard the gate of Mount Mashu in Tablet IX of the </w:t>
      </w:r>
      <w:r>
        <w:rPr>
          <w:i/>
        </w:rPr>
        <w:t xml:space="preserve">Epic of Gilgamesh</w:t>
      </w:r>
      <w:r>
        <w:t xml:space="preserve">. The fuller religious history, and why Antares's name is observationally earned rather than just poetic, sits on the sign's page, </w:t>
      </w:r>
      <w:hyperlink r:id="rId130">
        <w:r>
          <w:rPr>
            <w:color w:val="1F4E79"/>
            <w:u w:val="single"/>
          </w:rPr>
          <w:t xml:space="preserve">Scorpio</w:t>
        </w:r>
      </w:hyperlink>
      <w:r>
        <w:t xml:space="preserve">; what belongs here is everything outside the Greek and Babylonian frame.</w:t>
      </w:r>
    </w:p>
    <w:p>
      <w:r>
        <w:t xml:space="preserve">The claws are the clearest case of a constellation losing territory. Ptolemy's </w:t>
      </w:r>
      <w:r>
        <w:rPr>
          <w:i/>
        </w:rPr>
        <w:t xml:space="preserve">Almagest</w:t>
      </w:r>
      <w:r>
        <w:t xml:space="preserve"> still catalogues the </w:t>
      </w:r>
      <w:r>
        <w:rPr>
          <w:i/>
        </w:rPr>
        <w:t xml:space="preserve">Chelae</w:t>
      </w:r>
      <w:r>
        <w:t xml:space="preserve">, the claws, as part of Scorpius, but by his time the Greeks and Romans had already been carving that ground off into its own figure for centuries: </w:t>
      </w:r>
      <w:hyperlink r:id="rId131">
        <w:r>
          <w:rPr>
            <w:color w:val="1F4E79"/>
            <w:u w:val="single"/>
          </w:rPr>
          <w:t xml:space="preserve">Libra</w:t>
        </w:r>
      </w:hyperlink>
      <w:r>
        <w:t xml:space="preserve">, the Scales, whose alpha and beta stars are still named </w:t>
      </w:r>
      <w:r>
        <w:rPr>
          <w:b/>
        </w:rPr>
        <w:t xml:space="preserve">Zubenelgenubi</w:t>
      </w:r>
      <w:r>
        <w:t xml:space="preserve"> and </w:t>
      </w:r>
      <w:r>
        <w:rPr>
          <w:b/>
        </w:rPr>
        <w:t xml:space="preserve">Zubeneschamali</w:t>
      </w:r>
      <w:r>
        <w:t xml:space="preserve"> — Arabic for "the southern claw" and "the northern claw." Those names are a fossil: two stars that changed constellations millennia ago, still carrying the address of the one they left.</w:t>
      </w:r>
    </w:p>
    <w:p>
      <w:r>
        <w:t xml:space="preserve">Outside the Mediterranean, several unrelated traditions land on the same shape for a different reason — not a scorpion, but a hook. In Aotearoa, Scorpius is </w:t>
      </w:r>
      <w:r>
        <w:rPr>
          <w:b/>
        </w:rPr>
        <w:t xml:space="preserve">Te Matau a Māui</w:t>
      </w:r>
      <w:r>
        <w:t xml:space="preserve">, the fish-hook of Māui: the demigod's hook, made from the jawbone of his ancestress Muri-ranga-whenua, with which he pulled the North Island (Te Ika-a-Māui) up from the sea before tossing it into the sky, where its curve is still visible in the tail. Related fish-hook readings of the same stars turn up across the wider Pacific, including in Hawaiian tradition, where the tail is </w:t>
      </w:r>
      <w:r>
        <w:rPr>
          <w:i/>
        </w:rPr>
        <w:t xml:space="preserve">Ka Makau Nui o Māui</w:t>
      </w:r>
      <w:r>
        <w:t xml:space="preserve">, the Big Fishhook of Māui. The Greek and Polynesian traditions were worked out independently, from the same nine or ten bright stars, and arrived at two different objects doing two different jobs — a stinging tail and a fishing hook — using the identical curve.</w:t>
      </w:r>
    </w:p>
    <w:p>
      <w:r>
        <w:t xml:space="preserve">The Greek story about Orion is worth taking seriously as more than decoration, because it describes something checkable. A scorpion, sent by Gaia or by Artemis, kills Orion after he boasts he can kill every animal alive; both are placed in the sky at opposite ends of it, so that Orion sets in the west as the Scorpion rises in the east, and the two are never above the horizon together. This is </w:t>
      </w:r>
      <w:r>
        <w:rPr>
          <w:b/>
        </w:rPr>
        <w:t xml:space="preserve">Hellenistic literary catasterism</w:t>
      </w:r>
      <w:r>
        <w:t xml:space="preserve"> — a story fitted to an existing arrangement of stars rather than the reason for it — but the arrangement it explains is real. Orion's stars sit around right ascension 5h, on the celestial equator; Scorpius sits around right ascension 16.5h, deep in the southern sky — close to twelve hours apart, about as far as two constellations can be. Orion is a winter constellation from Ohio and Scorpius is a summer one. The myth is a genuinely accurate description of an observation anyone here can still make for themselves.</w:t>
      </w:r>
    </w:p>
    <w:p>
      <w:pPr>
        <w:pStyle w:val="Heading2"/>
      </w:pPr>
      <w:r>
        <w:t xml:space="preserve">Deep sky</w:t>
      </w:r>
    </w:p>
    <w:p>
      <w:r>
        <w:t xml:space="preserve">Scorpius sits against the thick base of the Milky Way, so its deep sky is mostly star clusters rather than isolated galaxies. In the tail, </w:t>
      </w:r>
      <w:r>
        <w:rPr>
          <w:b/>
        </w:rPr>
        <w:t xml:space="preserve">M7</w:t>
      </w:r>
      <w:r>
        <w:t xml:space="preserve">, the </w:t>
      </w:r>
      <w:r>
        <w:rPr>
          <w:b/>
        </w:rPr>
        <w:t xml:space="preserve">Ptolemy Cluster</w:t>
      </w:r>
      <w:r>
        <w:t xml:space="preserve">, is an open cluster of roughly 80 stars about 980 light-years away, bright enough that Ptolemy himself recorded it as a nebulosity "following the sting" in 130 CE — the oldest deep-sky object with a written observation behind it. A few degrees northwest, </w:t>
      </w:r>
      <w:r>
        <w:rPr>
          <w:b/>
        </w:rPr>
        <w:t xml:space="preserve">M6</w:t>
      </w:r>
      <w:r>
        <w:t xml:space="preserve">, the </w:t>
      </w:r>
      <w:r>
        <w:rPr>
          <w:b/>
        </w:rPr>
        <w:t xml:space="preserve">Butterfly Cluster</w:t>
      </w:r>
      <w:r>
        <w:t xml:space="preserve">, is smaller and more distant (roughly 1,590 light-years), its brighter stars tracing two fanned lobes that give it the name. Both entered Charles Messier's catalogue in 1764; despite sitting close together on the sky, they are unrelated clusters at different distances, lined up only by chance.</w:t>
      </w:r>
    </w:p>
    <w:p>
      <w:r>
        <w:t xml:space="preserve">Near the claws, </w:t>
      </w:r>
      <w:r>
        <w:rPr>
          <w:b/>
        </w:rPr>
        <w:t xml:space="preserve">M4</w:t>
      </w:r>
      <w:r>
        <w:t xml:space="preserve"> is one of the closest globular clusters to Earth — about 6,000 light-years away, and only 1.3 degrees from Antares, an easy find in binoculars once Antares is located. Antares's own light is tangled in dust: it sits at the edge of the same star-forming region that produces the more famous Rho Ophiuchi cloud just over the border, and long-exposure images of the area show the star's red glow bleeding into blue reflection nebulosity thrown off by nearby young stars.</w:t>
      </w:r>
    </w:p>
    <w:p>
      <w:pPr>
        <w:pStyle w:val="Heading2"/>
      </w:pPr>
      <w:r>
        <w:t xml:space="preserve">Key dates</w:t>
      </w:r>
    </w:p>
    <w:tbl>
      <w:tblPr>
        <w:tblStyle w:val="TableGrid"/>
        <w:tblW w:w="0" w:type="auto"/>
      </w:tblPr>
      <w:tblGrid>
        <w:gridCol w:w="2400"/>
        <w:gridCol w:w="2400"/>
      </w:tblGrid>
      <w:tr>
        <w:trPr>
          <w:tblHeader/>
        </w:trPr>
        <w:tc>
          <w:tcPr>
            <w:tcW w:w="2400" w:type="dxa"/>
          </w:tcPr>
          <w:p>
            <w:pPr>
              <w:pStyle w:val="TableText"/>
            </w:pPr>
            <w:r>
              <w:rPr>
                <w:b/>
              </w:rPr>
              <w:t xml:space="preserve">Date</w:t>
            </w:r>
          </w:p>
        </w:tc>
        <w:tc>
          <w:tcPr>
            <w:tcW w:w="2400" w:type="dxa"/>
          </w:tcPr>
          <w:p>
            <w:pPr>
              <w:pStyle w:val="TableText"/>
            </w:pPr>
            <w:r>
              <w:rPr>
                <w:b/>
              </w:rPr>
              <w:t xml:space="preserve">Event</w:t>
            </w:r>
          </w:p>
        </w:tc>
      </w:tr>
      <w:tr>
        <w:tc>
          <w:tcPr>
            <w:tcW w:w="2400" w:type="dxa"/>
          </w:tcPr>
          <w:p>
            <w:pPr>
              <w:pStyle w:val="TableText"/>
            </w:pPr>
            <w:r>
              <w:t xml:space="preserve">c. 1900–1600 BCE</w:t>
            </w:r>
          </w:p>
        </w:tc>
        <w:tc>
          <w:tcPr>
            <w:tcW w:w="2400" w:type="dxa"/>
          </w:tcPr>
          <w:p>
            <w:pPr>
              <w:pStyle w:val="TableText"/>
            </w:pPr>
            <w:r>
              <w:t xml:space="preserve">The Scorpion appears in Old Babylonian star material — one of the earliest zodiac figures on record.</w:t>
            </w:r>
          </w:p>
        </w:tc>
      </w:tr>
      <w:tr>
        <w:tc>
          <w:tcPr>
            <w:tcW w:w="2400" w:type="dxa"/>
          </w:tcPr>
          <w:p>
            <w:pPr>
              <w:pStyle w:val="TableText"/>
            </w:pPr>
            <w:r>
              <w:t xml:space="preserve">c. 1000 BCE </w:t>
            </w:r>
            <w:r>
              <w:rPr>
                <w:i/>
              </w:rPr>
              <w:t xml:space="preserve">(contested)</w:t>
            </w:r>
          </w:p>
        </w:tc>
        <w:tc>
          <w:tcPr>
            <w:tcW w:w="2400" w:type="dxa"/>
          </w:tcPr>
          <w:p>
            <w:pPr>
              <w:pStyle w:val="TableText"/>
            </w:pPr>
            <w:r>
              <w:t xml:space="preserve">MUL.APIN lists MUL.GIR.TAB, the Scorpion, in the Moon's path.</w:t>
            </w:r>
          </w:p>
        </w:tc>
      </w:tr>
      <w:tr>
        <w:tc>
          <w:tcPr>
            <w:tcW w:w="2400" w:type="dxa"/>
          </w:tcPr>
          <w:p>
            <w:pPr>
              <w:pStyle w:val="TableText"/>
            </w:pPr>
            <w:r>
              <w:t xml:space="preserve">130 CE</w:t>
            </w:r>
          </w:p>
        </w:tc>
        <w:tc>
          <w:tcPr>
            <w:tcW w:w="2400" w:type="dxa"/>
          </w:tcPr>
          <w:p>
            <w:pPr>
              <w:pStyle w:val="TableText"/>
            </w:pPr>
            <w:r>
              <w:t xml:space="preserve">Ptolemy records the cluster later catalogued as M7 as a nebulosity following the sting.</w:t>
            </w:r>
          </w:p>
        </w:tc>
      </w:tr>
      <w:tr>
        <w:tc>
          <w:tcPr>
            <w:tcW w:w="2400" w:type="dxa"/>
          </w:tcPr>
          <w:p>
            <w:pPr>
              <w:pStyle w:val="TableText"/>
            </w:pPr>
            <w:r>
              <w:t xml:space="preserve">c. 150 CE</w:t>
            </w:r>
          </w:p>
        </w:tc>
        <w:tc>
          <w:tcPr>
            <w:tcW w:w="2400" w:type="dxa"/>
          </w:tcPr>
          <w:p>
            <w:pPr>
              <w:pStyle w:val="TableText"/>
            </w:pPr>
            <w:r>
              <w:t xml:space="preserve">Ptolemy catalogues Scorpius — still including the Chelae, the claws — in the </w:t>
            </w:r>
            <w:r>
              <w:rPr>
                <w:i/>
              </w:rPr>
              <w:t xml:space="preserve">Almagest</w:t>
            </w:r>
            <w:r>
              <w:t xml:space="preserve">.</w:t>
            </w:r>
          </w:p>
        </w:tc>
      </w:tr>
      <w:tr>
        <w:tc>
          <w:tcPr>
            <w:tcW w:w="2400" w:type="dxa"/>
          </w:tcPr>
          <w:p>
            <w:pPr>
              <w:pStyle w:val="TableText"/>
            </w:pPr>
            <w:r>
              <w:t xml:space="preserve">1764 CE</w:t>
            </w:r>
          </w:p>
        </w:tc>
        <w:tc>
          <w:tcPr>
            <w:tcW w:w="2400" w:type="dxa"/>
          </w:tcPr>
          <w:p>
            <w:pPr>
              <w:pStyle w:val="TableText"/>
            </w:pPr>
            <w:r>
              <w:t xml:space="preserve">Charles Messier adds M6 and M7 to his catalogue.</w:t>
            </w:r>
          </w:p>
        </w:tc>
      </w:tr>
      <w:tr>
        <w:tc>
          <w:tcPr>
            <w:tcW w:w="2400" w:type="dxa"/>
          </w:tcPr>
          <w:p>
            <w:pPr>
              <w:pStyle w:val="TableText"/>
            </w:pPr>
            <w:r>
              <w:t xml:space="preserve">1930 CE</w:t>
            </w:r>
          </w:p>
        </w:tc>
        <w:tc>
          <w:tcPr>
            <w:tcW w:w="2400" w:type="dxa"/>
          </w:tcPr>
          <w:p>
            <w:pPr>
              <w:pStyle w:val="TableText"/>
            </w:pPr>
            <w:r>
              <w:t xml:space="preserve">The IAU adopts Delporte's boundaries; the Sun now crosses Scorpius for only about a week, 23–29 November, the shortest solar transit of any zodiac constellation.</w:t>
            </w:r>
          </w:p>
        </w:tc>
      </w:tr>
      <w:tr>
        <w:tc>
          <w:tcPr>
            <w:tcW w:w="2400" w:type="dxa"/>
          </w:tcPr>
          <w:p>
            <w:pPr>
              <w:pStyle w:val="TableText"/>
            </w:pPr>
            <w:r>
              <w:t xml:space="preserve">2016–2018 CE</w:t>
            </w:r>
          </w:p>
        </w:tc>
        <w:tc>
          <w:tcPr>
            <w:tcW w:w="2400" w:type="dxa"/>
          </w:tcPr>
          <w:p>
            <w:pPr>
              <w:pStyle w:val="TableText"/>
            </w:pPr>
            <w:r>
              <w:t xml:space="preserve">The IAU's Working Group on Star Names formally approves Acrab, Dschubba, Sargas, Shaula, Larawag and Paikauhale, several of them non-European in origin.</w:t>
            </w:r>
          </w:p>
        </w:tc>
      </w:tr>
    </w:tbl>
    <w:p/>
    <w:p>
      <w:pPr>
        <w:pStyle w:val="Heading2"/>
      </w:pPr>
      <w:r>
        <w:t xml:space="preserve">Related</w:t>
      </w:r>
    </w:p>
    <w:p>
      <w:pPr>
        <w:pStyle w:val="ListParagraph"/>
        <w:numPr>
          <w:ilvl w:val="0"/>
          <w:numId w:val="1"/>
        </w:numPr>
      </w:pPr>
      <w:hyperlink r:id="rId132">
        <w:r>
          <w:rPr>
            <w:color w:val="1F4E79"/>
            <w:u w:val="single"/>
          </w:rPr>
          <w:t xml:space="preserve">Scorpio (the zodiac sign)</w:t>
        </w:r>
      </w:hyperlink>
      <w:r>
        <w:t xml:space="preserve"> — same animal, two Latin declensions, a sign now 24 degrees from its stars.</w:t>
      </w:r>
    </w:p>
    <w:p>
      <w:pPr>
        <w:pStyle w:val="ListParagraph"/>
        <w:numPr>
          <w:ilvl w:val="0"/>
          <w:numId w:val="1"/>
        </w:numPr>
      </w:pPr>
      <w:hyperlink r:id="rId133">
        <w:r>
          <w:rPr>
            <w:color w:val="1F4E79"/>
            <w:u w:val="single"/>
          </w:rPr>
          <w:t xml:space="preserve">Sagittarius</w:t>
        </w:r>
      </w:hyperlink>
      <w:r>
        <w:t xml:space="preserve"> — the true neighbour, picking up where the tail ends.</w:t>
      </w:r>
    </w:p>
    <w:p>
      <w:pPr>
        <w:pStyle w:val="ListParagraph"/>
        <w:numPr>
          <w:ilvl w:val="0"/>
          <w:numId w:val="1"/>
        </w:numPr>
      </w:pPr>
      <w:hyperlink r:id="rId134">
        <w:r>
          <w:rPr>
            <w:color w:val="1F4E79"/>
            <w:u w:val="single"/>
          </w:rPr>
          <w:t xml:space="preserve">Libra</w:t>
        </w:r>
      </w:hyperlink>
      <w:r>
        <w:t xml:space="preserve"> — carved from Scorpius's claws; its star names still say so.</w:t>
      </w:r>
    </w:p>
    <w:p>
      <w:pPr>
        <w:pStyle w:val="ListParagraph"/>
        <w:numPr>
          <w:ilvl w:val="0"/>
          <w:numId w:val="1"/>
        </w:numPr>
      </w:pPr>
      <w:hyperlink r:id="rId135">
        <w:r>
          <w:rPr>
            <w:color w:val="1F4E79"/>
            <w:u w:val="single"/>
          </w:rPr>
          <w:t xml:space="preserve">Calendar</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sky/constellations/scorpius" TargetMode="External"/><Relationship Id="rId101" Type="http://schemas.openxmlformats.org/officeDocument/2006/relationships/hyperlink" Target="https://www.agoramores.com/tags/mythology" TargetMode="External"/><Relationship Id="rId102" Type="http://schemas.openxmlformats.org/officeDocument/2006/relationships/hyperlink" Target="https://www.agoramores.com/sky/constellations/cygnus" TargetMode="External"/><Relationship Id="rId103" Type="http://schemas.openxmlformats.org/officeDocument/2006/relationships/hyperlink" Target="https://www.agoramores.com/sky/constellations/bootes" TargetMode="External"/><Relationship Id="rId104" Type="http://schemas.openxmlformats.org/officeDocument/2006/relationships/hyperlink" Target="https://www.agoramores.com/sky/constellations/corona-borealis" TargetMode="External"/><Relationship Id="rId105" Type="http://schemas.openxmlformats.org/officeDocument/2006/relationships/hyperlink" Target="https://www.agoramores.com/sky/constellations/ursa-minor" TargetMode="External"/><Relationship Id="rId106" Type="http://schemas.openxmlformats.org/officeDocument/2006/relationships/hyperlink" Target="https://www.agoramores.com/sky/constellations/andromeda" TargetMode="External"/><Relationship Id="rId107" Type="http://schemas.openxmlformats.org/officeDocument/2006/relationships/hyperlink" Target="https://www.agoramores.com/sky/constellations/aquila" TargetMode="External"/><Relationship Id="rId108" Type="http://schemas.openxmlformats.org/officeDocument/2006/relationships/hyperlink" Target="https://www.agoramores.com/tags/astronomy" TargetMode="External"/><Relationship Id="rId109" Type="http://schemas.openxmlformats.org/officeDocument/2006/relationships/hyperlink" Target="https://www.agoramores.com/sky/constellations/perseus" TargetMode="External"/><Relationship Id="rId110" Type="http://schemas.openxmlformats.org/officeDocument/2006/relationships/hyperlink" Target="https://www.agoramores.com/sky/constellations/corvus" TargetMode="External"/><Relationship Id="rId111" Type="http://schemas.openxmlformats.org/officeDocument/2006/relationships/hyperlink" Target="https://www.agoramores.com/sky/constellations/auriga" TargetMode="External"/><Relationship Id="rId112" Type="http://schemas.openxmlformats.org/officeDocument/2006/relationships/hyperlink" Target="https://www.agoramores.com/sky/constellations/cancer" TargetMode="External"/><Relationship Id="rId113" Type="http://schemas.openxmlformats.org/officeDocument/2006/relationships/hyperlink" Target="https://www.agoramores.com/sky/constellations/canis-major" TargetMode="External"/><Relationship Id="rId114" Type="http://schemas.openxmlformats.org/officeDocument/2006/relationships/hyperlink" Target="https://www.agoramores.com/sky/constellations/delphinus" TargetMode="External"/><Relationship Id="rId115" Type="http://schemas.openxmlformats.org/officeDocument/2006/relationships/hyperlink" Target="https://www.agoramores.com/tags/constellations" TargetMode="External"/><Relationship Id="rId116" Type="http://schemas.openxmlformats.org/officeDocument/2006/relationships/hyperlink" Target="https://www.agoramores.com/sky/constellations/draco" TargetMode="External"/><Relationship Id="rId117" Type="http://schemas.openxmlformats.org/officeDocument/2006/relationships/hyperlink" Target="https://www.agoramores.com/sky/constellations/gemini" TargetMode="External"/><Relationship Id="rId118" Type="http://schemas.openxmlformats.org/officeDocument/2006/relationships/hyperlink" Target="https://www.agoramores.com/sky/constellations/orion" TargetMode="External"/><Relationship Id="rId119" Type="http://schemas.openxmlformats.org/officeDocument/2006/relationships/hyperlink" Target="https://www.agoramores.com/sky/constellations/pegasus" TargetMode="External"/><Relationship Id="rId120" Type="http://schemas.openxmlformats.org/officeDocument/2006/relationships/hyperlink" Target="https://www.agoramores.com/sky/constellations/aries" TargetMode="External"/><Relationship Id="rId121" Type="http://schemas.openxmlformats.org/officeDocument/2006/relationships/hyperlink" Target="https://www.agoramores.com/sky/constellations/hercules" TargetMode="External"/><Relationship Id="rId122" Type="http://schemas.openxmlformats.org/officeDocument/2006/relationships/hyperlink" Target="https://www.agoramores.com/tags/sky" TargetMode="External"/><Relationship Id="rId123" Type="http://schemas.openxmlformats.org/officeDocument/2006/relationships/hyperlink" Target="https://www.agoramores.com/sky/constellations/sagittarius" TargetMode="External"/><Relationship Id="rId124" Type="http://schemas.openxmlformats.org/officeDocument/2006/relationships/hyperlink" Target="https://www.agoramores.com/sky/constellations/virgo" TargetMode="External"/><Relationship Id="rId125" Type="http://schemas.openxmlformats.org/officeDocument/2006/relationships/hyperlink" Target="https://www.agoramores.com/sky/constellations/leo" TargetMode="External"/><Relationship Id="rId126" Type="http://schemas.openxmlformats.org/officeDocument/2006/relationships/hyperlink" Target="https://www.agoramores.com/sky/constellations/taurus" TargetMode="External"/><Relationship Id="rId127" Type="http://schemas.openxmlformats.org/officeDocument/2006/relationships/hyperlink" Target="https://www.agoramores.com/sky/constellations/cepheus" TargetMode="External"/><Relationship Id="rId128" Type="http://schemas.openxmlformats.org/officeDocument/2006/relationships/hyperlink" Target="https://www.agoramores.com/sky/constellations/ursa-major" TargetMode="External"/><Relationship Id="rId129" Type="http://schemas.openxmlformats.org/officeDocument/2006/relationships/hyperlink" Target="https://www.agoramores.com/culture/zodiac/western/scorpio" TargetMode="External"/><Relationship Id="rId130" Type="http://schemas.openxmlformats.org/officeDocument/2006/relationships/hyperlink" Target="https://www.agoramores.com/culture/zodiac/western/scorpio" TargetMode="External"/><Relationship Id="rId131" Type="http://schemas.openxmlformats.org/officeDocument/2006/relationships/hyperlink" Target="https://www.agoramores.com/culture/zodiac/western/libra" TargetMode="External"/><Relationship Id="rId132" Type="http://schemas.openxmlformats.org/officeDocument/2006/relationships/hyperlink" Target="https://www.agoramores.com/culture/zodiac/western/scorpio" TargetMode="External"/><Relationship Id="rId133" Type="http://schemas.openxmlformats.org/officeDocument/2006/relationships/hyperlink" Target="https://www.agoramores.com/sky/constellations/sagittarius" TargetMode="External"/><Relationship Id="rId134" Type="http://schemas.openxmlformats.org/officeDocument/2006/relationships/hyperlink" Target="https://www.agoramores.com/culture/zodiac/western/libra" TargetMode="External"/><Relationship Id="rId135" Type="http://schemas.openxmlformats.org/officeDocument/2006/relationships/hyperlink" Target="https://www.agoramores.com/calendar/portal"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Scorpius</dc:title>
  <dc:creator>Agoramores</dc:creator>
  <cp:keywords>sky, constellations, astronomy, mythology</cp:keywords>
  <dcterms:created xsi:type="dcterms:W3CDTF">2026-08-22T02:54:06Z</dcterms:created>
</cp:coreProperties>
</file>