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Draco</w:t>
      </w:r>
    </w:p>
    <w:p>
      <w:pPr>
        <w:pStyle w:val="Subtitle"/>
      </w:pPr>
      <w:hyperlink r:id="rId100">
        <w:r>
          <w:rPr>
            <w:color w:val="1F4E79"/>
            <w:u w:val="single"/>
          </w:rPr>
          <w:t xml:space="preserve">https://www.agoramores.com/sky/constellations/draco</w:t>
        </w:r>
      </w:hyperlink>
    </w:p>
    <w:p>
      <w:pPr>
        <w:pStyle w:val="Subtitle"/>
      </w:pPr>
      <w:r>
        <w:t xml:space="preserve">Tags: sky · constellations · astronomy · mythology</w:t>
      </w:r>
    </w:p>
    <w:p>
      <w:pPr>
        <w:pBdr>
          <w:bottom w:val="single" w:sz="6" w:space="1" w:color="808080"/>
        </w:pBdr>
      </w:pPr>
    </w:p>
    <w:p>
      <w:pPr>
        <w:pStyle w:val="Heading1"/>
      </w:pPr>
      <w:r>
        <w:t xml:space="preserve">Related</w:t>
      </w:r>
    </w:p>
    <w:p>
      <w:pPr>
        <w:pStyle w:val="Heading2"/>
      </w:pPr>
      <w:hyperlink r:id="rId101">
        <w:r>
          <w:rPr>
            <w:color w:val="1F4E79"/>
            <w:u w:val="single"/>
          </w:rPr>
          <w:t xml:space="preserve">mythology</w:t>
        </w:r>
      </w:hyperlink>
    </w:p>
    <w:p>
      <w:pPr>
        <w:pStyle w:val="ListParagraph"/>
        <w:numPr>
          <w:ilvl w:val="0"/>
          <w:numId w:val="1"/>
        </w:numPr>
      </w:pPr>
      <w:hyperlink r:id="rId102">
        <w:r>
          <w:rPr>
            <w:color w:val="1F4E79"/>
            <w:u w:val="single"/>
          </w:rPr>
          <w:t xml:space="preserve">Cygnus</w:t>
        </w:r>
      </w:hyperlink>
    </w:p>
    <w:p>
      <w:pPr>
        <w:pStyle w:val="ListParagraph"/>
        <w:numPr>
          <w:ilvl w:val="0"/>
          <w:numId w:val="1"/>
        </w:numPr>
      </w:pPr>
      <w:hyperlink r:id="rId103">
        <w:r>
          <w:rPr>
            <w:color w:val="1F4E79"/>
            <w:u w:val="single"/>
          </w:rPr>
          <w:t xml:space="preserve">Bootes</w:t>
        </w:r>
      </w:hyperlink>
    </w:p>
    <w:p>
      <w:pPr>
        <w:pStyle w:val="ListParagraph"/>
        <w:numPr>
          <w:ilvl w:val="0"/>
          <w:numId w:val="1"/>
        </w:numPr>
      </w:pPr>
      <w:hyperlink r:id="rId104">
        <w:r>
          <w:rPr>
            <w:color w:val="1F4E79"/>
            <w:u w:val="single"/>
          </w:rPr>
          <w:t xml:space="preserve">Corona Borealis</w:t>
        </w:r>
      </w:hyperlink>
    </w:p>
    <w:p>
      <w:pPr>
        <w:pStyle w:val="ListParagraph"/>
        <w:numPr>
          <w:ilvl w:val="0"/>
          <w:numId w:val="1"/>
        </w:numPr>
      </w:pPr>
      <w:hyperlink r:id="rId105">
        <w:r>
          <w:rPr>
            <w:color w:val="1F4E79"/>
            <w:u w:val="single"/>
          </w:rPr>
          <w:t xml:space="preserve">Ursa Minor</w:t>
        </w:r>
      </w:hyperlink>
    </w:p>
    <w:p>
      <w:pPr>
        <w:pStyle w:val="ListParagraph"/>
        <w:numPr>
          <w:ilvl w:val="0"/>
          <w:numId w:val="1"/>
        </w:numPr>
      </w:pPr>
      <w:hyperlink r:id="rId106">
        <w:r>
          <w:rPr>
            <w:color w:val="1F4E79"/>
            <w:u w:val="single"/>
          </w:rPr>
          <w:t xml:space="preserve">Andromeda</w:t>
        </w:r>
      </w:hyperlink>
    </w:p>
    <w:p>
      <w:pPr>
        <w:pStyle w:val="ListParagraph"/>
        <w:numPr>
          <w:ilvl w:val="0"/>
          <w:numId w:val="1"/>
        </w:numPr>
      </w:pPr>
      <w:hyperlink r:id="rId107">
        <w:r>
          <w:rPr>
            <w:color w:val="1F4E79"/>
            <w:u w:val="single"/>
          </w:rPr>
          <w:t xml:space="preserve">Aquila</w:t>
        </w:r>
      </w:hyperlink>
    </w:p>
    <w:p>
      <w:pPr>
        <w:pStyle w:val="Heading2"/>
      </w:pPr>
      <w:hyperlink r:id="rId108">
        <w:r>
          <w:rPr>
            <w:color w:val="1F4E79"/>
            <w:u w:val="single"/>
          </w:rPr>
          <w:t xml:space="preserve">astronomy</w:t>
        </w:r>
      </w:hyperlink>
    </w:p>
    <w:p>
      <w:pPr>
        <w:pStyle w:val="ListParagraph"/>
        <w:numPr>
          <w:ilvl w:val="0"/>
          <w:numId w:val="1"/>
        </w:numPr>
      </w:pPr>
      <w:hyperlink r:id="rId109">
        <w:r>
          <w:rPr>
            <w:color w:val="1F4E79"/>
            <w:u w:val="single"/>
          </w:rPr>
          <w:t xml:space="preserve">Perseus</w:t>
        </w:r>
      </w:hyperlink>
    </w:p>
    <w:p>
      <w:pPr>
        <w:pStyle w:val="ListParagraph"/>
        <w:numPr>
          <w:ilvl w:val="0"/>
          <w:numId w:val="1"/>
        </w:numPr>
      </w:pPr>
      <w:hyperlink r:id="rId110">
        <w:r>
          <w:rPr>
            <w:color w:val="1F4E79"/>
            <w:u w:val="single"/>
          </w:rPr>
          <w:t xml:space="preserve">Scorpius</w:t>
        </w:r>
      </w:hyperlink>
    </w:p>
    <w:p>
      <w:pPr>
        <w:pStyle w:val="ListParagraph"/>
        <w:numPr>
          <w:ilvl w:val="0"/>
          <w:numId w:val="1"/>
        </w:numPr>
      </w:pPr>
      <w:hyperlink r:id="rId111">
        <w:r>
          <w:rPr>
            <w:color w:val="1F4E79"/>
            <w:u w:val="single"/>
          </w:rPr>
          <w:t xml:space="preserve">Corvus</w:t>
        </w:r>
      </w:hyperlink>
    </w:p>
    <w:p>
      <w:pPr>
        <w:pStyle w:val="ListParagraph"/>
        <w:numPr>
          <w:ilvl w:val="0"/>
          <w:numId w:val="1"/>
        </w:numPr>
      </w:pPr>
      <w:hyperlink r:id="rId112">
        <w:r>
          <w:rPr>
            <w:color w:val="1F4E79"/>
            <w:u w:val="single"/>
          </w:rPr>
          <w:t xml:space="preserve">Auriga</w:t>
        </w:r>
      </w:hyperlink>
    </w:p>
    <w:p>
      <w:pPr>
        <w:pStyle w:val="ListParagraph"/>
        <w:numPr>
          <w:ilvl w:val="0"/>
          <w:numId w:val="1"/>
        </w:numPr>
      </w:pPr>
      <w:hyperlink r:id="rId113">
        <w:r>
          <w:rPr>
            <w:color w:val="1F4E79"/>
            <w:u w:val="single"/>
          </w:rPr>
          <w:t xml:space="preserve">Cancer</w:t>
        </w:r>
      </w:hyperlink>
    </w:p>
    <w:p>
      <w:pPr>
        <w:pStyle w:val="ListParagraph"/>
        <w:numPr>
          <w:ilvl w:val="0"/>
          <w:numId w:val="1"/>
        </w:numPr>
      </w:pPr>
      <w:hyperlink r:id="rId114">
        <w:r>
          <w:rPr>
            <w:color w:val="1F4E79"/>
            <w:u w:val="single"/>
          </w:rPr>
          <w:t xml:space="preserve">Canis Major</w:t>
        </w:r>
      </w:hyperlink>
    </w:p>
    <w:p>
      <w:pPr>
        <w:pStyle w:val="Heading2"/>
      </w:pPr>
      <w:hyperlink r:id="rId115">
        <w:r>
          <w:rPr>
            <w:color w:val="1F4E79"/>
            <w:u w:val="single"/>
          </w:rPr>
          <w:t xml:space="preserve">constellations</w:t>
        </w:r>
      </w:hyperlink>
    </w:p>
    <w:p>
      <w:pPr>
        <w:pStyle w:val="ListParagraph"/>
        <w:numPr>
          <w:ilvl w:val="0"/>
          <w:numId w:val="1"/>
        </w:numPr>
      </w:pPr>
      <w:hyperlink r:id="rId116">
        <w:r>
          <w:rPr>
            <w:color w:val="1F4E79"/>
            <w:u w:val="single"/>
          </w:rPr>
          <w:t xml:space="preserve">Delphinus</w:t>
        </w:r>
      </w:hyperlink>
    </w:p>
    <w:p>
      <w:pPr>
        <w:pStyle w:val="ListParagraph"/>
        <w:numPr>
          <w:ilvl w:val="0"/>
          <w:numId w:val="1"/>
        </w:numPr>
      </w:pPr>
      <w:hyperlink r:id="rId117">
        <w:r>
          <w:rPr>
            <w:color w:val="1F4E79"/>
            <w:u w:val="single"/>
          </w:rPr>
          <w:t xml:space="preserve">Gemini</w:t>
        </w:r>
      </w:hyperlink>
    </w:p>
    <w:p>
      <w:pPr>
        <w:pStyle w:val="ListParagraph"/>
        <w:numPr>
          <w:ilvl w:val="0"/>
          <w:numId w:val="1"/>
        </w:numPr>
      </w:pPr>
      <w:hyperlink r:id="rId118">
        <w:r>
          <w:rPr>
            <w:color w:val="1F4E79"/>
            <w:u w:val="single"/>
          </w:rPr>
          <w:t xml:space="preserve">Orion</w:t>
        </w:r>
      </w:hyperlink>
    </w:p>
    <w:p>
      <w:pPr>
        <w:pStyle w:val="ListParagraph"/>
        <w:numPr>
          <w:ilvl w:val="0"/>
          <w:numId w:val="1"/>
        </w:numPr>
      </w:pPr>
      <w:hyperlink r:id="rId119">
        <w:r>
          <w:rPr>
            <w:color w:val="1F4E79"/>
            <w:u w:val="single"/>
          </w:rPr>
          <w:t xml:space="preserve">Pegasus</w:t>
        </w:r>
      </w:hyperlink>
    </w:p>
    <w:p>
      <w:pPr>
        <w:pStyle w:val="ListParagraph"/>
        <w:numPr>
          <w:ilvl w:val="0"/>
          <w:numId w:val="1"/>
        </w:numPr>
      </w:pPr>
      <w:hyperlink r:id="rId120">
        <w:r>
          <w:rPr>
            <w:color w:val="1F4E79"/>
            <w:u w:val="single"/>
          </w:rPr>
          <w:t xml:space="preserve">Aries</w:t>
        </w:r>
      </w:hyperlink>
    </w:p>
    <w:p>
      <w:pPr>
        <w:pStyle w:val="ListParagraph"/>
        <w:numPr>
          <w:ilvl w:val="0"/>
          <w:numId w:val="1"/>
        </w:numPr>
      </w:pPr>
      <w:hyperlink r:id="rId121">
        <w:r>
          <w:rPr>
            <w:color w:val="1F4E79"/>
            <w:u w:val="single"/>
          </w:rPr>
          <w:t xml:space="preserve">Hercules</w:t>
        </w:r>
      </w:hyperlink>
    </w:p>
    <w:p>
      <w:pPr>
        <w:pStyle w:val="Heading2"/>
      </w:pPr>
      <w:hyperlink r:id="rId122">
        <w:r>
          <w:rPr>
            <w:color w:val="1F4E79"/>
            <w:u w:val="single"/>
          </w:rPr>
          <w:t xml:space="preserve">sky</w:t>
        </w:r>
      </w:hyperlink>
    </w:p>
    <w:p>
      <w:pPr>
        <w:pStyle w:val="ListParagraph"/>
        <w:numPr>
          <w:ilvl w:val="0"/>
          <w:numId w:val="1"/>
        </w:numPr>
      </w:pPr>
      <w:hyperlink r:id="rId123">
        <w:r>
          <w:rPr>
            <w:color w:val="1F4E79"/>
            <w:u w:val="single"/>
          </w:rPr>
          <w:t xml:space="preserve">Sagittarius</w:t>
        </w:r>
      </w:hyperlink>
    </w:p>
    <w:p>
      <w:pPr>
        <w:pStyle w:val="ListParagraph"/>
        <w:numPr>
          <w:ilvl w:val="0"/>
          <w:numId w:val="1"/>
        </w:numPr>
      </w:pPr>
      <w:hyperlink r:id="rId124">
        <w:r>
          <w:rPr>
            <w:color w:val="1F4E79"/>
            <w:u w:val="single"/>
          </w:rPr>
          <w:t xml:space="preserve">Virgo</w:t>
        </w:r>
      </w:hyperlink>
    </w:p>
    <w:p>
      <w:pPr>
        <w:pStyle w:val="ListParagraph"/>
        <w:numPr>
          <w:ilvl w:val="0"/>
          <w:numId w:val="1"/>
        </w:numPr>
      </w:pPr>
      <w:hyperlink r:id="rId125">
        <w:r>
          <w:rPr>
            <w:color w:val="1F4E79"/>
            <w:u w:val="single"/>
          </w:rPr>
          <w:t xml:space="preserve">Leo</w:t>
        </w:r>
      </w:hyperlink>
    </w:p>
    <w:p>
      <w:pPr>
        <w:pStyle w:val="ListParagraph"/>
        <w:numPr>
          <w:ilvl w:val="0"/>
          <w:numId w:val="1"/>
        </w:numPr>
      </w:pPr>
      <w:hyperlink r:id="rId126">
        <w:r>
          <w:rPr>
            <w:color w:val="1F4E79"/>
            <w:u w:val="single"/>
          </w:rPr>
          <w:t xml:space="preserve">Taurus</w:t>
        </w:r>
      </w:hyperlink>
    </w:p>
    <w:p>
      <w:pPr>
        <w:pStyle w:val="ListParagraph"/>
        <w:numPr>
          <w:ilvl w:val="0"/>
          <w:numId w:val="1"/>
        </w:numPr>
      </w:pPr>
      <w:hyperlink r:id="rId127">
        <w:r>
          <w:rPr>
            <w:color w:val="1F4E79"/>
            <w:u w:val="single"/>
          </w:rPr>
          <w:t xml:space="preserve">Cepheus</w:t>
        </w:r>
      </w:hyperlink>
    </w:p>
    <w:p>
      <w:pPr>
        <w:pStyle w:val="ListParagraph"/>
        <w:numPr>
          <w:ilvl w:val="0"/>
          <w:numId w:val="1"/>
        </w:numPr>
      </w:pPr>
      <w:hyperlink r:id="rId128">
        <w:r>
          <w:rPr>
            <w:color w:val="1F4E79"/>
            <w:u w:val="single"/>
          </w:rPr>
          <w:t xml:space="preserve">Ursa Major</w:t>
        </w:r>
      </w:hyperlink>
    </w:p>
    <w:p>
      <w:pPr>
        <w:pStyle w:val="Heading1"/>
      </w:pPr>
      <w:r>
        <w:t xml:space="preserve">Draco</w:t>
      </w:r>
    </w:p>
    <w:p>
      <w:r>
        <w:rPr>
          <w:b/>
        </w:rPr>
        <w:t xml:space="preserve">Draco</w:t>
      </w:r>
      <w:r>
        <w:t xml:space="preserve">, the Dragon, is the eighth-largest constellation in the sky, but you would not guess it from a glance — nothing in it is brighter than 2nd magnitude, and its long, looping body is easy to lose against a bright or hazy background. It coils in the gap between </w:t>
      </w:r>
      <w:hyperlink r:id="rId129">
        <w:r>
          <w:rPr>
            <w:color w:val="1F4E79"/>
            <w:u w:val="single"/>
          </w:rPr>
          <w:t xml:space="preserve">Ursa Major</w:t>
        </w:r>
      </w:hyperlink>
      <w:r>
        <w:t xml:space="preserve"> and </w:t>
      </w:r>
      <w:hyperlink r:id="rId130">
        <w:r>
          <w:rPr>
            <w:color w:val="1F4E79"/>
            <w:u w:val="single"/>
          </w:rPr>
          <w:t xml:space="preserve">Ursa Minor</w:t>
        </w:r>
      </w:hyperlink>
      <w:r>
        <w:t xml:space="preserve">, loops out past Ursa Minor's bowl, and ends in a small, distinctive quadrilateral — the dragon's head — wedged between Hercules and Vega. That head is the part actually worth learning to recognize; the rest of the body is a long-exposure project for a dark night, not a five-minute find.</w:t>
      </w:r>
    </w:p>
    <w:p>
      <w:pPr>
        <w:pStyle w:val="Heading2"/>
      </w:pPr>
      <w:r>
        <w:t xml:space="preserve">Finding it</w:t>
      </w:r>
    </w:p>
    <w:p>
      <w:r>
        <w:t xml:space="preserve">Start with the head. Look for a lopsided box of four stars roughly between Hercules and the bright star Vega: </w:t>
      </w:r>
      <w:r>
        <w:rPr>
          <w:b/>
        </w:rPr>
        <w:t xml:space="preserve">Eltanin</w:t>
      </w:r>
      <w:r>
        <w:t xml:space="preserve">, </w:t>
      </w:r>
      <w:r>
        <w:rPr>
          <w:b/>
        </w:rPr>
        <w:t xml:space="preserve">Rastaban</w:t>
      </w:r>
      <w:r>
        <w:t xml:space="preserve">, </w:t>
      </w:r>
      <w:r>
        <w:rPr>
          <w:b/>
        </w:rPr>
        <w:t xml:space="preserve">Grumium</w:t>
      </w:r>
      <w:r>
        <w:t xml:space="preserve">, and their fourth corner. From there, the body runs back toward </w:t>
      </w:r>
      <w:hyperlink r:id="rId131">
        <w:r>
          <w:rPr>
            <w:color w:val="1F4E79"/>
            <w:u w:val="single"/>
          </w:rPr>
          <w:t xml:space="preserve">Ursa Major</w:t>
        </w:r>
      </w:hyperlink>
      <w:r>
        <w:t xml:space="preserve">'s bowl — down through Nu, Rastaban's neighbor, then a long bending line west through Zeta, Eta, Theta, Edasich, and </w:t>
      </w:r>
      <w:r>
        <w:rPr>
          <w:b/>
        </w:rPr>
        <w:t xml:space="preserve">Thuban</w:t>
      </w:r>
      <w:r>
        <w:t xml:space="preserve">, until it ends near Lambda and Kappa Draconis, tucked against the underside of the Big Dipper's bowl. Thuban itself sits almost exactly between the two Bears, which is no accident — it once marked the pole they both circle.</w:t>
      </w:r>
    </w:p>
    <w:p>
      <w:r>
        <w:t xml:space="preserve">Draco is comfortably circumpolar from Columbus. Its lowest star on this chart, Eltanin, sits at declination 51.49° — above the roughly 50° threshold that applies at 40°N, with real margin to spare (see </w:t>
      </w:r>
      <w:hyperlink r:id="rId132">
        <w:r>
          <w:rPr>
            <w:color w:val="1F4E79"/>
            <w:u w:val="single"/>
          </w:rPr>
          <w:t xml:space="preserve">Ursa Major</w:t>
        </w:r>
      </w:hyperlink>
      <w:r>
        <w:t xml:space="preserve"> for how that threshold works and for the one star in this set of four that cuts it close).</w:t>
      </w:r>
    </w:p>
    <w:p>
      <w:pPr>
        <w:pStyle w:val="Heading2"/>
      </w:pPr>
      <w:r>
        <w:t xml:space="preserve">The stars</w:t>
      </w:r>
    </w:p>
    <w:p>
      <w:r>
        <w:t xml:space="preserve">RA and Dec below are J2000, matching the values the site's own chart is built from.</w:t>
      </w:r>
    </w:p>
    <w:tbl>
      <w:tblPr>
        <w:tblStyle w:val="TableGrid"/>
        <w:tblW w:w="0" w:type="auto"/>
      </w:tblPr>
      <w:tblGrid>
        <w:gridCol w:w="2400"/>
        <w:gridCol w:w="2400"/>
        <w:gridCol w:w="2400"/>
        <w:gridCol w:w="2400"/>
        <w:gridCol w:w="2400"/>
        <w:gridCol w:w="2400"/>
        <w:gridCol w:w="2400"/>
      </w:tblGrid>
      <w:tr>
        <w:trPr>
          <w:tblHeader/>
        </w:trPr>
        <w:tc>
          <w:tcPr>
            <w:tcW w:w="2400" w:type="dxa"/>
          </w:tcPr>
          <w:p>
            <w:pPr>
              <w:pStyle w:val="TableText"/>
            </w:pPr>
            <w:r>
              <w:rPr>
                <w:b/>
              </w:rPr>
              <w:t xml:space="preserve">Star</w:t>
            </w:r>
          </w:p>
        </w:tc>
        <w:tc>
          <w:tcPr>
            <w:tcW w:w="2400" w:type="dxa"/>
          </w:tcPr>
          <w:p>
            <w:pPr>
              <w:pStyle w:val="TableText"/>
            </w:pPr>
            <w:r>
              <w:rPr>
                <w:b/>
              </w:rPr>
              <w:t xml:space="preserve">RA (h)</w:t>
            </w:r>
          </w:p>
        </w:tc>
        <w:tc>
          <w:tcPr>
            <w:tcW w:w="2400" w:type="dxa"/>
          </w:tcPr>
          <w:p>
            <w:pPr>
              <w:pStyle w:val="TableText"/>
            </w:pPr>
            <w:r>
              <w:rPr>
                <w:b/>
              </w:rPr>
              <w:t xml:space="preserve">Dec (°)</w:t>
            </w:r>
          </w:p>
        </w:tc>
        <w:tc>
          <w:tcPr>
            <w:tcW w:w="2400" w:type="dxa"/>
          </w:tcPr>
          <w:p>
            <w:pPr>
              <w:pStyle w:val="TableText"/>
            </w:pPr>
            <w:r>
              <w:rPr>
                <w:b/>
              </w:rPr>
              <w:t xml:space="preserve">Mag</w:t>
            </w:r>
          </w:p>
        </w:tc>
        <w:tc>
          <w:tcPr>
            <w:tcW w:w="2400" w:type="dxa"/>
          </w:tcPr>
          <w:p>
            <w:pPr>
              <w:pStyle w:val="TableText"/>
            </w:pPr>
            <w:r>
              <w:rPr>
                <w:b/>
              </w:rPr>
              <w:t xml:space="preserve">Distance</w:t>
            </w:r>
          </w:p>
        </w:tc>
        <w:tc>
          <w:tcPr>
            <w:tcW w:w="2400" w:type="dxa"/>
          </w:tcPr>
          <w:p>
            <w:pPr>
              <w:pStyle w:val="TableText"/>
            </w:pPr>
            <w:r>
              <w:rPr>
                <w:b/>
              </w:rPr>
              <w:t xml:space="preserve">Spectral type</w:t>
            </w:r>
          </w:p>
        </w:tc>
        <w:tc>
          <w:tcPr>
            <w:tcW w:w="2400" w:type="dxa"/>
          </w:tcPr>
          <w:p>
            <w:pPr>
              <w:pStyle w:val="TableText"/>
            </w:pPr>
            <w:r>
              <w:rPr>
                <w:b/>
              </w:rPr>
              <w:t xml:space="preserve">Name meaning</w:t>
            </w:r>
          </w:p>
        </w:tc>
      </w:tr>
      <w:tr>
        <w:tc>
          <w:tcPr>
            <w:tcW w:w="2400" w:type="dxa"/>
          </w:tcPr>
          <w:p>
            <w:pPr>
              <w:pStyle w:val="TableText"/>
            </w:pPr>
            <w:r>
              <w:t xml:space="preserve">Thuban (α)</w:t>
            </w:r>
          </w:p>
        </w:tc>
        <w:tc>
          <w:tcPr>
            <w:tcW w:w="2400" w:type="dxa"/>
          </w:tcPr>
          <w:p>
            <w:pPr>
              <w:pStyle w:val="TableText"/>
            </w:pPr>
            <w:r>
              <w:t xml:space="preserve">14.073</w:t>
            </w:r>
          </w:p>
        </w:tc>
        <w:tc>
          <w:tcPr>
            <w:tcW w:w="2400" w:type="dxa"/>
          </w:tcPr>
          <w:p>
            <w:pPr>
              <w:pStyle w:val="TableText"/>
            </w:pPr>
            <w:r>
              <w:t xml:space="preserve">64.38</w:t>
            </w:r>
          </w:p>
        </w:tc>
        <w:tc>
          <w:tcPr>
            <w:tcW w:w="2400" w:type="dxa"/>
          </w:tcPr>
          <w:p>
            <w:pPr>
              <w:pStyle w:val="TableText"/>
            </w:pPr>
            <w:r>
              <w:t xml:space="preserve">3.65</w:t>
            </w:r>
          </w:p>
        </w:tc>
        <w:tc>
          <w:tcPr>
            <w:tcW w:w="2400" w:type="dxa"/>
          </w:tcPr>
          <w:p>
            <w:pPr>
              <w:pStyle w:val="TableText"/>
            </w:pPr>
            <w:r>
              <w:t xml:space="preserve">303 ly</w:t>
            </w:r>
          </w:p>
        </w:tc>
        <w:tc>
          <w:tcPr>
            <w:tcW w:w="2400" w:type="dxa"/>
          </w:tcPr>
          <w:p>
            <w:pPr>
              <w:pStyle w:val="TableText"/>
            </w:pPr>
            <w:r>
              <w:t xml:space="preserve">A0 III, white giant</w:t>
            </w:r>
          </w:p>
        </w:tc>
        <w:tc>
          <w:tcPr>
            <w:tcW w:w="2400" w:type="dxa"/>
          </w:tcPr>
          <w:p>
            <w:pPr>
              <w:pStyle w:val="TableText"/>
            </w:pPr>
            <w:r>
              <w:t xml:space="preserve">Arabic </w:t>
            </w:r>
            <w:r>
              <w:rPr>
                <w:i/>
              </w:rPr>
              <w:t xml:space="preserve">thu'bān</w:t>
            </w:r>
            <w:r>
              <w:t xml:space="preserve">, "the serpent" or "the dragon" — Earth's pole star from roughly 3900 to 1800 BCE</w:t>
            </w:r>
          </w:p>
        </w:tc>
      </w:tr>
      <w:tr>
        <w:tc>
          <w:tcPr>
            <w:tcW w:w="2400" w:type="dxa"/>
          </w:tcPr>
          <w:p>
            <w:pPr>
              <w:pStyle w:val="TableText"/>
            </w:pPr>
            <w:r>
              <w:t xml:space="preserve">Rastaban (β)</w:t>
            </w:r>
          </w:p>
        </w:tc>
        <w:tc>
          <w:tcPr>
            <w:tcW w:w="2400" w:type="dxa"/>
          </w:tcPr>
          <w:p>
            <w:pPr>
              <w:pStyle w:val="TableText"/>
            </w:pPr>
            <w:r>
              <w:t xml:space="preserve">17.507</w:t>
            </w:r>
          </w:p>
        </w:tc>
        <w:tc>
          <w:tcPr>
            <w:tcW w:w="2400" w:type="dxa"/>
          </w:tcPr>
          <w:p>
            <w:pPr>
              <w:pStyle w:val="TableText"/>
            </w:pPr>
            <w:r>
              <w:t xml:space="preserve">52.30</w:t>
            </w:r>
          </w:p>
        </w:tc>
        <w:tc>
          <w:tcPr>
            <w:tcW w:w="2400" w:type="dxa"/>
          </w:tcPr>
          <w:p>
            <w:pPr>
              <w:pStyle w:val="TableText"/>
            </w:pPr>
            <w:r>
              <w:t xml:space="preserve">2.79</w:t>
            </w:r>
          </w:p>
        </w:tc>
        <w:tc>
          <w:tcPr>
            <w:tcW w:w="2400" w:type="dxa"/>
          </w:tcPr>
          <w:p>
            <w:pPr>
              <w:pStyle w:val="TableText"/>
            </w:pPr>
            <w:r>
              <w:t xml:space="preserve">~380 ly</w:t>
            </w:r>
          </w:p>
        </w:tc>
        <w:tc>
          <w:tcPr>
            <w:tcW w:w="2400" w:type="dxa"/>
          </w:tcPr>
          <w:p>
            <w:pPr>
              <w:pStyle w:val="TableText"/>
            </w:pPr>
            <w:r>
              <w:t xml:space="preserve">G2 Ib–IIa, yellow bright giant</w:t>
            </w:r>
          </w:p>
        </w:tc>
        <w:tc>
          <w:tcPr>
            <w:tcW w:w="2400" w:type="dxa"/>
          </w:tcPr>
          <w:p>
            <w:pPr>
              <w:pStyle w:val="TableText"/>
            </w:pPr>
            <w:r>
              <w:t xml:space="preserve">Arabic </w:t>
            </w:r>
            <w:r>
              <w:rPr>
                <w:i/>
              </w:rPr>
              <w:t xml:space="preserve">ra's ath-thu'bān</w:t>
            </w:r>
            <w:r>
              <w:t xml:space="preserve">, "the head of the serpent"</w:t>
            </w:r>
          </w:p>
        </w:tc>
      </w:tr>
      <w:tr>
        <w:tc>
          <w:tcPr>
            <w:tcW w:w="2400" w:type="dxa"/>
          </w:tcPr>
          <w:p>
            <w:pPr>
              <w:pStyle w:val="TableText"/>
            </w:pPr>
            <w:r>
              <w:t xml:space="preserve">Eltanin (γ)</w:t>
            </w:r>
          </w:p>
        </w:tc>
        <w:tc>
          <w:tcPr>
            <w:tcW w:w="2400" w:type="dxa"/>
          </w:tcPr>
          <w:p>
            <w:pPr>
              <w:pStyle w:val="TableText"/>
            </w:pPr>
            <w:r>
              <w:t xml:space="preserve">17.943</w:t>
            </w:r>
          </w:p>
        </w:tc>
        <w:tc>
          <w:tcPr>
            <w:tcW w:w="2400" w:type="dxa"/>
          </w:tcPr>
          <w:p>
            <w:pPr>
              <w:pStyle w:val="TableText"/>
            </w:pPr>
            <w:r>
              <w:t xml:space="preserve">51.49</w:t>
            </w:r>
          </w:p>
        </w:tc>
        <w:tc>
          <w:tcPr>
            <w:tcW w:w="2400" w:type="dxa"/>
          </w:tcPr>
          <w:p>
            <w:pPr>
              <w:pStyle w:val="TableText"/>
            </w:pPr>
            <w:r>
              <w:t xml:space="preserve">2.23</w:t>
            </w:r>
          </w:p>
        </w:tc>
        <w:tc>
          <w:tcPr>
            <w:tcW w:w="2400" w:type="dxa"/>
          </w:tcPr>
          <w:p>
            <w:pPr>
              <w:pStyle w:val="TableText"/>
            </w:pPr>
            <w:r>
              <w:t xml:space="preserve">154 ly</w:t>
            </w:r>
          </w:p>
        </w:tc>
        <w:tc>
          <w:tcPr>
            <w:tcW w:w="2400" w:type="dxa"/>
          </w:tcPr>
          <w:p>
            <w:pPr>
              <w:pStyle w:val="TableText"/>
            </w:pPr>
            <w:r>
              <w:t xml:space="preserve">K5 III, orange giant</w:t>
            </w:r>
          </w:p>
        </w:tc>
        <w:tc>
          <w:tcPr>
            <w:tcW w:w="2400" w:type="dxa"/>
          </w:tcPr>
          <w:p>
            <w:pPr>
              <w:pStyle w:val="TableText"/>
            </w:pPr>
            <w:r>
              <w:t xml:space="preserve">Arabic </w:t>
            </w:r>
            <w:r>
              <w:rPr>
                <w:i/>
              </w:rPr>
              <w:t xml:space="preserve">al-tinnīn</w:t>
            </w:r>
            <w:r>
              <w:t xml:space="preserve">, "the serpent"; Draco's brightest star despite carrying the Bayer letter gamma, not alpha</w:t>
            </w:r>
          </w:p>
        </w:tc>
      </w:tr>
      <w:tr>
        <w:tc>
          <w:tcPr>
            <w:tcW w:w="2400" w:type="dxa"/>
          </w:tcPr>
          <w:p>
            <w:pPr>
              <w:pStyle w:val="TableText"/>
            </w:pPr>
            <w:r>
              <w:t xml:space="preserve">Altais (δ)</w:t>
            </w:r>
          </w:p>
        </w:tc>
        <w:tc>
          <w:tcPr>
            <w:tcW w:w="2400" w:type="dxa"/>
          </w:tcPr>
          <w:p>
            <w:pPr>
              <w:pStyle w:val="TableText"/>
            </w:pPr>
            <w:r>
              <w:t xml:space="preserve">19.209</w:t>
            </w:r>
          </w:p>
        </w:tc>
        <w:tc>
          <w:tcPr>
            <w:tcW w:w="2400" w:type="dxa"/>
          </w:tcPr>
          <w:p>
            <w:pPr>
              <w:pStyle w:val="TableText"/>
            </w:pPr>
            <w:r>
              <w:t xml:space="preserve">67.66</w:t>
            </w:r>
          </w:p>
        </w:tc>
        <w:tc>
          <w:tcPr>
            <w:tcW w:w="2400" w:type="dxa"/>
          </w:tcPr>
          <w:p>
            <w:pPr>
              <w:pStyle w:val="TableText"/>
            </w:pPr>
            <w:r>
              <w:t xml:space="preserve">3.07</w:t>
            </w:r>
          </w:p>
        </w:tc>
        <w:tc>
          <w:tcPr>
            <w:tcW w:w="2400" w:type="dxa"/>
          </w:tcPr>
          <w:p>
            <w:pPr>
              <w:pStyle w:val="TableText"/>
            </w:pPr>
            <w:r>
              <w:t xml:space="preserve">~97 ly</w:t>
            </w:r>
          </w:p>
        </w:tc>
        <w:tc>
          <w:tcPr>
            <w:tcW w:w="2400" w:type="dxa"/>
          </w:tcPr>
          <w:p>
            <w:pPr>
              <w:pStyle w:val="TableText"/>
            </w:pPr>
            <w:r>
              <w:t xml:space="preserve">G9 III, yellow giant</w:t>
            </w:r>
          </w:p>
        </w:tc>
        <w:tc>
          <w:tcPr>
            <w:tcW w:w="2400" w:type="dxa"/>
          </w:tcPr>
          <w:p>
            <w:pPr>
              <w:pStyle w:val="TableText"/>
            </w:pPr>
            <w:r>
              <w:t xml:space="preserve">Arabic </w:t>
            </w:r>
            <w:r>
              <w:rPr>
                <w:i/>
              </w:rPr>
              <w:t xml:space="preserve">al-tāis</w:t>
            </w:r>
            <w:r>
              <w:t xml:space="preserve">, "the goat," from an old asterism grouping this star with Pi, Rho and Epsilon Draconis</w:t>
            </w:r>
          </w:p>
        </w:tc>
      </w:tr>
      <w:tr>
        <w:tc>
          <w:tcPr>
            <w:tcW w:w="2400" w:type="dxa"/>
          </w:tcPr>
          <w:p>
            <w:pPr>
              <w:pStyle w:val="TableText"/>
            </w:pPr>
            <w:r>
              <w:t xml:space="preserve">Zeta Dra (Aldhibah)</w:t>
            </w:r>
          </w:p>
        </w:tc>
        <w:tc>
          <w:tcPr>
            <w:tcW w:w="2400" w:type="dxa"/>
          </w:tcPr>
          <w:p>
            <w:pPr>
              <w:pStyle w:val="TableText"/>
            </w:pPr>
            <w:r>
              <w:t xml:space="preserve">17.146</w:t>
            </w:r>
          </w:p>
        </w:tc>
        <w:tc>
          <w:tcPr>
            <w:tcW w:w="2400" w:type="dxa"/>
          </w:tcPr>
          <w:p>
            <w:pPr>
              <w:pStyle w:val="TableText"/>
            </w:pPr>
            <w:r>
              <w:t xml:space="preserve">65.71</w:t>
            </w:r>
          </w:p>
        </w:tc>
        <w:tc>
          <w:tcPr>
            <w:tcW w:w="2400" w:type="dxa"/>
          </w:tcPr>
          <w:p>
            <w:pPr>
              <w:pStyle w:val="TableText"/>
            </w:pPr>
            <w:r>
              <w:t xml:space="preserve">3.17</w:t>
            </w:r>
          </w:p>
        </w:tc>
        <w:tc>
          <w:tcPr>
            <w:tcW w:w="2400" w:type="dxa"/>
          </w:tcPr>
          <w:p>
            <w:pPr>
              <w:pStyle w:val="TableText"/>
            </w:pPr>
            <w:r>
              <w:t xml:space="preserve">~330 ly</w:t>
            </w:r>
          </w:p>
        </w:tc>
        <w:tc>
          <w:tcPr>
            <w:tcW w:w="2400" w:type="dxa"/>
          </w:tcPr>
          <w:p>
            <w:pPr>
              <w:pStyle w:val="TableText"/>
            </w:pPr>
            <w:r>
              <w:t xml:space="preserve">B6 III, blue giant</w:t>
            </w:r>
          </w:p>
        </w:tc>
        <w:tc>
          <w:tcPr>
            <w:tcW w:w="2400" w:type="dxa"/>
          </w:tcPr>
          <w:p>
            <w:pPr>
              <w:pStyle w:val="TableText"/>
            </w:pPr>
            <w:r>
              <w:t xml:space="preserve">Arabic </w:t>
            </w:r>
            <w:r>
              <w:rPr>
                <w:i/>
              </w:rPr>
              <w:t xml:space="preserve">al-dhi'b</w:t>
            </w:r>
            <w:r>
              <w:t xml:space="preserve">, "the wolf" (or hyena) — paired with Eta as "the two wolves"</w:t>
            </w:r>
          </w:p>
        </w:tc>
      </w:tr>
      <w:tr>
        <w:tc>
          <w:tcPr>
            <w:tcW w:w="2400" w:type="dxa"/>
          </w:tcPr>
          <w:p>
            <w:pPr>
              <w:pStyle w:val="TableText"/>
            </w:pPr>
            <w:r>
              <w:t xml:space="preserve">Eta Dra (Athebyne)</w:t>
            </w:r>
          </w:p>
        </w:tc>
        <w:tc>
          <w:tcPr>
            <w:tcW w:w="2400" w:type="dxa"/>
          </w:tcPr>
          <w:p>
            <w:pPr>
              <w:pStyle w:val="TableText"/>
            </w:pPr>
            <w:r>
              <w:t xml:space="preserve">16.400</w:t>
            </w:r>
          </w:p>
        </w:tc>
        <w:tc>
          <w:tcPr>
            <w:tcW w:w="2400" w:type="dxa"/>
          </w:tcPr>
          <w:p>
            <w:pPr>
              <w:pStyle w:val="TableText"/>
            </w:pPr>
            <w:r>
              <w:t xml:space="preserve">61.51</w:t>
            </w:r>
          </w:p>
        </w:tc>
        <w:tc>
          <w:tcPr>
            <w:tcW w:w="2400" w:type="dxa"/>
          </w:tcPr>
          <w:p>
            <w:pPr>
              <w:pStyle w:val="TableText"/>
            </w:pPr>
            <w:r>
              <w:t xml:space="preserve">2.73</w:t>
            </w:r>
          </w:p>
        </w:tc>
        <w:tc>
          <w:tcPr>
            <w:tcW w:w="2400" w:type="dxa"/>
          </w:tcPr>
          <w:p>
            <w:pPr>
              <w:pStyle w:val="TableText"/>
            </w:pPr>
            <w:r>
              <w:t xml:space="preserve">~92 ly</w:t>
            </w:r>
          </w:p>
        </w:tc>
        <w:tc>
          <w:tcPr>
            <w:tcW w:w="2400" w:type="dxa"/>
          </w:tcPr>
          <w:p>
            <w:pPr>
              <w:pStyle w:val="TableText"/>
            </w:pPr>
            <w:r>
              <w:t xml:space="preserve">G8 III, yellow giant</w:t>
            </w:r>
          </w:p>
        </w:tc>
        <w:tc>
          <w:tcPr>
            <w:tcW w:w="2400" w:type="dxa"/>
          </w:tcPr>
          <w:p>
            <w:pPr>
              <w:pStyle w:val="TableText"/>
            </w:pPr>
            <w:r>
              <w:t xml:space="preserve">Arabic </w:t>
            </w:r>
            <w:r>
              <w:rPr>
                <w:i/>
              </w:rPr>
              <w:t xml:space="preserve">adh-dhi'bayn</w:t>
            </w:r>
            <w:r>
              <w:t xml:space="preserve">, "the two wolves," shared with Zeta; officially named by the IAU in 2017</w:t>
            </w:r>
          </w:p>
        </w:tc>
      </w:tr>
      <w:tr>
        <w:tc>
          <w:tcPr>
            <w:tcW w:w="2400" w:type="dxa"/>
          </w:tcPr>
          <w:p>
            <w:pPr>
              <w:pStyle w:val="TableText"/>
            </w:pPr>
            <w:r>
              <w:t xml:space="preserve">Edasich (ι)</w:t>
            </w:r>
          </w:p>
        </w:tc>
        <w:tc>
          <w:tcPr>
            <w:tcW w:w="2400" w:type="dxa"/>
          </w:tcPr>
          <w:p>
            <w:pPr>
              <w:pStyle w:val="TableText"/>
            </w:pPr>
            <w:r>
              <w:t xml:space="preserve">15.415</w:t>
            </w:r>
          </w:p>
        </w:tc>
        <w:tc>
          <w:tcPr>
            <w:tcW w:w="2400" w:type="dxa"/>
          </w:tcPr>
          <w:p>
            <w:pPr>
              <w:pStyle w:val="TableText"/>
            </w:pPr>
            <w:r>
              <w:t xml:space="preserve">58.97</w:t>
            </w:r>
          </w:p>
        </w:tc>
        <w:tc>
          <w:tcPr>
            <w:tcW w:w="2400" w:type="dxa"/>
          </w:tcPr>
          <w:p>
            <w:pPr>
              <w:pStyle w:val="TableText"/>
            </w:pPr>
            <w:r>
              <w:t xml:space="preserve">3.29</w:t>
            </w:r>
          </w:p>
        </w:tc>
        <w:tc>
          <w:tcPr>
            <w:tcW w:w="2400" w:type="dxa"/>
          </w:tcPr>
          <w:p>
            <w:pPr>
              <w:pStyle w:val="TableText"/>
            </w:pPr>
            <w:r>
              <w:t xml:space="preserve">~101 ly</w:t>
            </w:r>
          </w:p>
        </w:tc>
        <w:tc>
          <w:tcPr>
            <w:tcW w:w="2400" w:type="dxa"/>
          </w:tcPr>
          <w:p>
            <w:pPr>
              <w:pStyle w:val="TableText"/>
            </w:pPr>
            <w:r>
              <w:t xml:space="preserve">K2 III, orange giant</w:t>
            </w:r>
          </w:p>
        </w:tc>
        <w:tc>
          <w:tcPr>
            <w:tcW w:w="2400" w:type="dxa"/>
          </w:tcPr>
          <w:p>
            <w:pPr>
              <w:pStyle w:val="TableText"/>
            </w:pPr>
            <w:r>
              <w:t xml:space="preserve">Traditional name of uncertain etymology; hosts Iota Draconis b, one of the first exoplanets found orbiting a giant star (2002)</w:t>
            </w:r>
          </w:p>
        </w:tc>
      </w:tr>
      <w:tr>
        <w:tc>
          <w:tcPr>
            <w:tcW w:w="2400" w:type="dxa"/>
          </w:tcPr>
          <w:p>
            <w:pPr>
              <w:pStyle w:val="TableText"/>
            </w:pPr>
            <w:r>
              <w:t xml:space="preserve">Grumium (ξ)</w:t>
            </w:r>
          </w:p>
        </w:tc>
        <w:tc>
          <w:tcPr>
            <w:tcW w:w="2400" w:type="dxa"/>
          </w:tcPr>
          <w:p>
            <w:pPr>
              <w:pStyle w:val="TableText"/>
            </w:pPr>
            <w:r>
              <w:t xml:space="preserve">17.892</w:t>
            </w:r>
          </w:p>
        </w:tc>
        <w:tc>
          <w:tcPr>
            <w:tcW w:w="2400" w:type="dxa"/>
          </w:tcPr>
          <w:p>
            <w:pPr>
              <w:pStyle w:val="TableText"/>
            </w:pPr>
            <w:r>
              <w:t xml:space="preserve">56.87</w:t>
            </w:r>
          </w:p>
        </w:tc>
        <w:tc>
          <w:tcPr>
            <w:tcW w:w="2400" w:type="dxa"/>
          </w:tcPr>
          <w:p>
            <w:pPr>
              <w:pStyle w:val="TableText"/>
            </w:pPr>
            <w:r>
              <w:t xml:space="preserve">3.75</w:t>
            </w:r>
          </w:p>
        </w:tc>
        <w:tc>
          <w:tcPr>
            <w:tcW w:w="2400" w:type="dxa"/>
          </w:tcPr>
          <w:p>
            <w:pPr>
              <w:pStyle w:val="TableText"/>
            </w:pPr>
            <w:r>
              <w:t xml:space="preserve">~113 ly</w:t>
            </w:r>
          </w:p>
        </w:tc>
        <w:tc>
          <w:tcPr>
            <w:tcW w:w="2400" w:type="dxa"/>
          </w:tcPr>
          <w:p>
            <w:pPr>
              <w:pStyle w:val="TableText"/>
            </w:pPr>
            <w:r>
              <w:t xml:space="preserve">K2 III, orange giant</w:t>
            </w:r>
          </w:p>
        </w:tc>
        <w:tc>
          <w:tcPr>
            <w:tcW w:w="2400" w:type="dxa"/>
          </w:tcPr>
          <w:p>
            <w:pPr>
              <w:pStyle w:val="TableText"/>
            </w:pPr>
            <w:r>
              <w:t xml:space="preserve">Latin corruption of </w:t>
            </w:r>
            <w:r>
              <w:rPr>
                <w:i/>
              </w:rPr>
              <w:t xml:space="preserve">grunnium</w:t>
            </w:r>
            <w:r>
              <w:t xml:space="preserve">, "snout" — Ptolemy placed it at the dragon's jaw</w:t>
            </w:r>
          </w:p>
        </w:tc>
      </w:tr>
      <w:tr>
        <w:tc>
          <w:tcPr>
            <w:tcW w:w="2400" w:type="dxa"/>
          </w:tcPr>
          <w:p>
            <w:pPr>
              <w:pStyle w:val="TableText"/>
            </w:pPr>
            <w:r>
              <w:t xml:space="preserve">Theta Dra</w:t>
            </w:r>
          </w:p>
        </w:tc>
        <w:tc>
          <w:tcPr>
            <w:tcW w:w="2400" w:type="dxa"/>
          </w:tcPr>
          <w:p>
            <w:pPr>
              <w:pStyle w:val="TableText"/>
            </w:pPr>
            <w:r>
              <w:t xml:space="preserve">16.032</w:t>
            </w:r>
          </w:p>
        </w:tc>
        <w:tc>
          <w:tcPr>
            <w:tcW w:w="2400" w:type="dxa"/>
          </w:tcPr>
          <w:p>
            <w:pPr>
              <w:pStyle w:val="TableText"/>
            </w:pPr>
            <w:r>
              <w:t xml:space="preserve">58.56</w:t>
            </w:r>
          </w:p>
        </w:tc>
        <w:tc>
          <w:tcPr>
            <w:tcW w:w="2400" w:type="dxa"/>
          </w:tcPr>
          <w:p>
            <w:pPr>
              <w:pStyle w:val="TableText"/>
            </w:pPr>
            <w:r>
              <w:t xml:space="preserve">4.01</w:t>
            </w:r>
          </w:p>
        </w:tc>
        <w:tc>
          <w:tcPr>
            <w:tcW w:w="2400" w:type="dxa"/>
          </w:tcPr>
          <w:p>
            <w:pPr>
              <w:pStyle w:val="TableText"/>
            </w:pPr>
            <w:r>
              <w:t xml:space="preserve">~69 ly</w:t>
            </w:r>
          </w:p>
        </w:tc>
        <w:tc>
          <w:tcPr>
            <w:tcW w:w="2400" w:type="dxa"/>
          </w:tcPr>
          <w:p>
            <w:pPr>
              <w:pStyle w:val="TableText"/>
            </w:pPr>
            <w:r>
              <w:t xml:space="preserve">F9 V, yellow-white dwarf</w:t>
            </w:r>
          </w:p>
        </w:tc>
        <w:tc>
          <w:tcPr>
            <w:tcW w:w="2400" w:type="dxa"/>
          </w:tcPr>
          <w:p>
            <w:pPr>
              <w:pStyle w:val="TableText"/>
            </w:pPr>
            <w:r>
              <w:t xml:space="preserve">No traditional proper name</w:t>
            </w:r>
          </w:p>
        </w:tc>
      </w:tr>
      <w:tr>
        <w:tc>
          <w:tcPr>
            <w:tcW w:w="2400" w:type="dxa"/>
          </w:tcPr>
          <w:p>
            <w:pPr>
              <w:pStyle w:val="TableText"/>
            </w:pPr>
            <w:r>
              <w:t xml:space="preserve">Nu Dra (Kuma)</w:t>
            </w:r>
          </w:p>
        </w:tc>
        <w:tc>
          <w:tcPr>
            <w:tcW w:w="2400" w:type="dxa"/>
          </w:tcPr>
          <w:p>
            <w:pPr>
              <w:pStyle w:val="TableText"/>
            </w:pPr>
            <w:r>
              <w:t xml:space="preserve">17.537</w:t>
            </w:r>
          </w:p>
        </w:tc>
        <w:tc>
          <w:tcPr>
            <w:tcW w:w="2400" w:type="dxa"/>
          </w:tcPr>
          <w:p>
            <w:pPr>
              <w:pStyle w:val="TableText"/>
            </w:pPr>
            <w:r>
              <w:t xml:space="preserve">55.18</w:t>
            </w:r>
          </w:p>
        </w:tc>
        <w:tc>
          <w:tcPr>
            <w:tcW w:w="2400" w:type="dxa"/>
          </w:tcPr>
          <w:p>
            <w:pPr>
              <w:pStyle w:val="TableText"/>
            </w:pPr>
            <w:r>
              <w:t xml:space="preserve">4.88</w:t>
            </w:r>
          </w:p>
        </w:tc>
        <w:tc>
          <w:tcPr>
            <w:tcW w:w="2400" w:type="dxa"/>
          </w:tcPr>
          <w:p>
            <w:pPr>
              <w:pStyle w:val="TableText"/>
            </w:pPr>
            <w:r>
              <w:t xml:space="preserve">~99 ly</w:t>
            </w:r>
          </w:p>
        </w:tc>
        <w:tc>
          <w:tcPr>
            <w:tcW w:w="2400" w:type="dxa"/>
          </w:tcPr>
          <w:p>
            <w:pPr>
              <w:pStyle w:val="TableText"/>
            </w:pPr>
            <w:r>
              <w:t xml:space="preserve">Am, two nearly identical stars</w:t>
            </w:r>
          </w:p>
        </w:tc>
        <w:tc>
          <w:tcPr>
            <w:tcW w:w="2400" w:type="dxa"/>
          </w:tcPr>
          <w:p>
            <w:pPr>
              <w:pStyle w:val="TableText"/>
            </w:pPr>
            <w:r>
              <w:t xml:space="preserve">Fine equal double (Nu¹ and Nu² Draconis), separated by 62 arcseconds — resolvable in binoculars</w:t>
            </w:r>
          </w:p>
        </w:tc>
      </w:tr>
      <w:tr>
        <w:tc>
          <w:tcPr>
            <w:tcW w:w="2400" w:type="dxa"/>
          </w:tcPr>
          <w:p>
            <w:pPr>
              <w:pStyle w:val="TableText"/>
            </w:pPr>
            <w:r>
              <w:t xml:space="preserve">Phi Dra</w:t>
            </w:r>
          </w:p>
        </w:tc>
        <w:tc>
          <w:tcPr>
            <w:tcW w:w="2400" w:type="dxa"/>
          </w:tcPr>
          <w:p>
            <w:pPr>
              <w:pStyle w:val="TableText"/>
            </w:pPr>
            <w:r>
              <w:t xml:space="preserve">18.347</w:t>
            </w:r>
          </w:p>
        </w:tc>
        <w:tc>
          <w:tcPr>
            <w:tcW w:w="2400" w:type="dxa"/>
          </w:tcPr>
          <w:p>
            <w:pPr>
              <w:pStyle w:val="TableText"/>
            </w:pPr>
            <w:r>
              <w:t xml:space="preserve">71.34</w:t>
            </w:r>
          </w:p>
        </w:tc>
        <w:tc>
          <w:tcPr>
            <w:tcW w:w="2400" w:type="dxa"/>
          </w:tcPr>
          <w:p>
            <w:pPr>
              <w:pStyle w:val="TableText"/>
            </w:pPr>
            <w:r>
              <w:t xml:space="preserve">4.22</w:t>
            </w:r>
          </w:p>
        </w:tc>
        <w:tc>
          <w:tcPr>
            <w:tcW w:w="2400" w:type="dxa"/>
          </w:tcPr>
          <w:p>
            <w:pPr>
              <w:pStyle w:val="TableText"/>
            </w:pPr>
            <w:r>
              <w:t xml:space="preserve">~303 ly</w:t>
            </w:r>
          </w:p>
        </w:tc>
        <w:tc>
          <w:tcPr>
            <w:tcW w:w="2400" w:type="dxa"/>
          </w:tcPr>
          <w:p>
            <w:pPr>
              <w:pStyle w:val="TableText"/>
            </w:pPr>
            <w:r>
              <w:t xml:space="preserve">A0p (Si), chemically peculiar</w:t>
            </w:r>
          </w:p>
        </w:tc>
        <w:tc>
          <w:tcPr>
            <w:tcW w:w="2400" w:type="dxa"/>
          </w:tcPr>
          <w:p>
            <w:pPr>
              <w:pStyle w:val="TableText"/>
            </w:pPr>
            <w:r>
              <w:t xml:space="preserve">Traditional name Batentaban Australis, "the southern footprint," from a pair with an unlisted northern twin</w:t>
            </w:r>
          </w:p>
        </w:tc>
      </w:tr>
      <w:tr>
        <w:tc>
          <w:tcPr>
            <w:tcW w:w="2400" w:type="dxa"/>
          </w:tcPr>
          <w:p>
            <w:pPr>
              <w:pStyle w:val="TableText"/>
            </w:pPr>
            <w:r>
              <w:t xml:space="preserve">Kappa Dra</w:t>
            </w:r>
          </w:p>
        </w:tc>
        <w:tc>
          <w:tcPr>
            <w:tcW w:w="2400" w:type="dxa"/>
          </w:tcPr>
          <w:p>
            <w:pPr>
              <w:pStyle w:val="TableText"/>
            </w:pPr>
            <w:r>
              <w:t xml:space="preserve">12.558</w:t>
            </w:r>
          </w:p>
        </w:tc>
        <w:tc>
          <w:tcPr>
            <w:tcW w:w="2400" w:type="dxa"/>
          </w:tcPr>
          <w:p>
            <w:pPr>
              <w:pStyle w:val="TableText"/>
            </w:pPr>
            <w:r>
              <w:t xml:space="preserve">69.79</w:t>
            </w:r>
          </w:p>
        </w:tc>
        <w:tc>
          <w:tcPr>
            <w:tcW w:w="2400" w:type="dxa"/>
          </w:tcPr>
          <w:p>
            <w:pPr>
              <w:pStyle w:val="TableText"/>
            </w:pPr>
            <w:r>
              <w:t xml:space="preserve">3.87</w:t>
            </w:r>
          </w:p>
        </w:tc>
        <w:tc>
          <w:tcPr>
            <w:tcW w:w="2400" w:type="dxa"/>
          </w:tcPr>
          <w:p>
            <w:pPr>
              <w:pStyle w:val="TableText"/>
            </w:pPr>
            <w:r>
              <w:t xml:space="preserve">~460 ly</w:t>
            </w:r>
          </w:p>
        </w:tc>
        <w:tc>
          <w:tcPr>
            <w:tcW w:w="2400" w:type="dxa"/>
          </w:tcPr>
          <w:p>
            <w:pPr>
              <w:pStyle w:val="TableText"/>
            </w:pPr>
            <w:r>
              <w:t xml:space="preserve">B6 III, blue giant</w:t>
            </w:r>
          </w:p>
        </w:tc>
        <w:tc>
          <w:tcPr>
            <w:tcW w:w="2400" w:type="dxa"/>
          </w:tcPr>
          <w:p>
            <w:pPr>
              <w:pStyle w:val="TableText"/>
            </w:pPr>
            <w:r>
              <w:t xml:space="preserve">No traditional proper name</w:t>
            </w:r>
          </w:p>
        </w:tc>
      </w:tr>
      <w:tr>
        <w:tc>
          <w:tcPr>
            <w:tcW w:w="2400" w:type="dxa"/>
          </w:tcPr>
          <w:p>
            <w:pPr>
              <w:pStyle w:val="TableText"/>
            </w:pPr>
            <w:r>
              <w:t xml:space="preserve">Lambda Dra (Giausar)</w:t>
            </w:r>
          </w:p>
        </w:tc>
        <w:tc>
          <w:tcPr>
            <w:tcW w:w="2400" w:type="dxa"/>
          </w:tcPr>
          <w:p>
            <w:pPr>
              <w:pStyle w:val="TableText"/>
            </w:pPr>
            <w:r>
              <w:t xml:space="preserve">11.523</w:t>
            </w:r>
          </w:p>
        </w:tc>
        <w:tc>
          <w:tcPr>
            <w:tcW w:w="2400" w:type="dxa"/>
          </w:tcPr>
          <w:p>
            <w:pPr>
              <w:pStyle w:val="TableText"/>
            </w:pPr>
            <w:r>
              <w:t xml:space="preserve">69.33</w:t>
            </w:r>
          </w:p>
        </w:tc>
        <w:tc>
          <w:tcPr>
            <w:tcW w:w="2400" w:type="dxa"/>
          </w:tcPr>
          <w:p>
            <w:pPr>
              <w:pStyle w:val="TableText"/>
            </w:pPr>
            <w:r>
              <w:t xml:space="preserve">3.84</w:t>
            </w:r>
          </w:p>
        </w:tc>
        <w:tc>
          <w:tcPr>
            <w:tcW w:w="2400" w:type="dxa"/>
          </w:tcPr>
          <w:p>
            <w:pPr>
              <w:pStyle w:val="TableText"/>
            </w:pPr>
            <w:r>
              <w:t xml:space="preserve">~333 ly</w:t>
            </w:r>
          </w:p>
        </w:tc>
        <w:tc>
          <w:tcPr>
            <w:tcW w:w="2400" w:type="dxa"/>
          </w:tcPr>
          <w:p>
            <w:pPr>
              <w:pStyle w:val="TableText"/>
            </w:pPr>
            <w:r>
              <w:t xml:space="preserve">M0 III, red giant</w:t>
            </w:r>
          </w:p>
        </w:tc>
        <w:tc>
          <w:tcPr>
            <w:tcW w:w="2400" w:type="dxa"/>
          </w:tcPr>
          <w:p>
            <w:pPr>
              <w:pStyle w:val="TableText"/>
            </w:pPr>
            <w:r>
              <w:t xml:space="preserve">Slight brightness variation (mag 3.77–3.86) as an evolved asymptotic-giant-branch star</w:t>
            </w:r>
          </w:p>
        </w:tc>
      </w:tr>
    </w:tbl>
    <w:p/>
    <w:p>
      <w:r>
        <w:t xml:space="preserve">Eltanin is worth a second look: it is moving toward the solar system and, in roughly 1.3 million years, will pass within about 28 light years of the Sun and briefly become the brightest star in Earth's night sky — outshining today's Sirius for a stretch of several hundred thousand years before receding again.</w:t>
      </w:r>
    </w:p>
    <w:p>
      <w:pPr>
        <w:pStyle w:val="Heading2"/>
      </w:pPr>
      <w:r>
        <w:t xml:space="preserve">Myth and history</w:t>
      </w:r>
    </w:p>
    <w:p>
      <w:r>
        <w:t xml:space="preserve">The version of Draco's myth repeated most often today identifies it with </w:t>
      </w:r>
      <w:r>
        <w:rPr>
          <w:b/>
        </w:rPr>
        <w:t xml:space="preserve">Ladon</w:t>
      </w:r>
      <w:r>
        <w:t xml:space="preserve">, guardian of the golden apples in the garden of the Hesperides — Hera's wedding gift, planted on Mount Atlas and set behind Ladon's coils so the Hesperides could not pick from it themselves. Stealing those apples was the eleventh of Heracles's labors; he killed Ladon to do it, and Hera placed the dragon's image among the stars afterward. This is the standard account found in the constellation-myth compilations attributed to Eratosthenes and to Hyginus, and Ptolemy catalogued the figure under this general reading in the 2nd-century </w:t>
      </w:r>
      <w:r>
        <w:rPr>
          <w:i/>
        </w:rPr>
        <w:t xml:space="preserve">Almagest</w:t>
      </w:r>
      <w:r>
        <w:t xml:space="preserve">. Accounts of Ladon's parentage disagree even within that tradition — sometimes a hundred-headed offspring of Typhon and Echidna, sometimes a child of the sea deities Ceto and Phorcys with no head count given at all.</w:t>
      </w:r>
    </w:p>
    <w:p>
      <w:r>
        <w:t xml:space="preserve">Hyginus also preserves a second, unrelated myth for the same stars: an unnamed dragon that fought on the side of the Giants against the Olympian gods, seized by Athena and hurled into the sky still writhing — which, in this telling, is why the constellation looks twisted rather than lying straight. Both stories are Greek and both are old; neither obviously wins, and it is worth knowing that the "official" myth is really the more popular of two.</w:t>
      </w:r>
    </w:p>
    <w:p>
      <w:r>
        <w:t xml:space="preserve">Pre-Islamic Arabian sky-watchers did not see one dragon here at all. They carved the same stretch of sky into several smaller figures: Zeta and Eta Draconis as </w:t>
      </w:r>
      <w:r>
        <w:rPr>
          <w:b/>
        </w:rPr>
        <w:t xml:space="preserve">al-dhi'bayn</w:t>
      </w:r>
      <w:r>
        <w:t xml:space="preserve">, "the two wolves" (or hyenas); Delta, Pi, Rho and Epsilon Draconis grouped as goats, giving Delta its name Altais; Phi and a neighboring star read as a camel's footprints. Those older asterisms are fossils, preserved only in the star names that survived translation into the Arabic versions of Ptolemy's catalogue and then into Latin and English — a reminder that the "dragon" reading is a Greek overlay on a sky other cultures had already divided up differently.</w:t>
      </w:r>
    </w:p>
    <w:p>
      <w:pPr>
        <w:pStyle w:val="Heading2"/>
      </w:pPr>
      <w:r>
        <w:t xml:space="preserve">Precession and the pole star before Polaris</w:t>
      </w:r>
    </w:p>
    <w:p>
      <w:r>
        <w:t xml:space="preserve">Earth's axis does not point at a fixed spot on the sky. It traces a slow circle, driven by the gravitational pull of the Sun and Moon on Earth's equatorial bulge, completing one full loop roughly every 26,000 years — the same wobble that makes a spinning top's axis trace a cone as it slows. </w:t>
      </w:r>
      <w:r>
        <w:rPr>
          <w:b/>
        </w:rPr>
        <w:t xml:space="preserve">Thuban</w:t>
      </w:r>
      <w:r>
        <w:t xml:space="preserve">, Draco's brightest star for most of its history despite carrying the constellation's "alpha" label, was the star nearest that point from roughly 3942 to 1793 BCE, passing closest to the pole around 2830 BCE. That window covers the construction of the Great Pyramid of Giza (c. 2560 BCE); the pyramid's narrow descending passage is often cited as having been aligned so that Thuban was visible from the passage floor near its lower culmination, though how deliberate that alignment was remains debated among Egyptologists rather than settled fact.</w:t>
      </w:r>
    </w:p>
    <w:p>
      <w:r>
        <w:t xml:space="preserve">No single bright star sat at the pole for most of the roughly five thousand years between Thuban's reign and today — which is why Kochab and Pherkad in </w:t>
      </w:r>
      <w:hyperlink r:id="rId133">
        <w:r>
          <w:rPr>
            <w:color w:val="1F4E79"/>
            <w:u w:val="single"/>
          </w:rPr>
          <w:t xml:space="preserve">Ursa Minor</w:t>
        </w:r>
      </w:hyperlink>
      <w:r>
        <w:t xml:space="preserve"> earned the name "Guardians of the Pole" in the interim, bracketing a gap rather than marking a point. </w:t>
      </w:r>
      <w:r>
        <w:rPr>
          <w:b/>
        </w:rPr>
        <w:t xml:space="preserve">Polaris</w:t>
      </w:r>
      <w:r>
        <w:t xml:space="preserve">, in Ursa Minor, is the current pole star and is still closing in; it will make its closest approach around March 2100 CE before it, too, begins to drift away. Thuban itself now sits about 26° from the pole, still a member of this circumpolar family but no longer anywhere near the axis it once marked.</w:t>
      </w:r>
    </w:p>
    <w:p>
      <w:pPr>
        <w:pStyle w:val="Heading2"/>
      </w:pPr>
      <w:r>
        <w:t xml:space="preserve">Deep sky</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Object</w:t>
            </w:r>
          </w:p>
        </w:tc>
        <w:tc>
          <w:tcPr>
            <w:tcW w:w="2400" w:type="dxa"/>
          </w:tcPr>
          <w:p>
            <w:pPr>
              <w:pStyle w:val="TableText"/>
            </w:pPr>
            <w:r>
              <w:rPr>
                <w:b/>
              </w:rPr>
              <w:t xml:space="preserve">Type</w:t>
            </w:r>
          </w:p>
        </w:tc>
        <w:tc>
          <w:tcPr>
            <w:tcW w:w="2400" w:type="dxa"/>
          </w:tcPr>
          <w:p>
            <w:pPr>
              <w:pStyle w:val="TableText"/>
            </w:pPr>
            <w:r>
              <w:rPr>
                <w:b/>
              </w:rPr>
              <w:t xml:space="preserve">Mag</w:t>
            </w:r>
          </w:p>
        </w:tc>
        <w:tc>
          <w:tcPr>
            <w:tcW w:w="2400" w:type="dxa"/>
          </w:tcPr>
          <w:p>
            <w:pPr>
              <w:pStyle w:val="TableText"/>
            </w:pPr>
            <w:r>
              <w:rPr>
                <w:b/>
              </w:rPr>
              <w:t xml:space="preserve">Distance</w:t>
            </w:r>
          </w:p>
        </w:tc>
        <w:tc>
          <w:tcPr>
            <w:tcW w:w="2400" w:type="dxa"/>
          </w:tcPr>
          <w:p>
            <w:pPr>
              <w:pStyle w:val="TableText"/>
            </w:pPr>
            <w:r>
              <w:rPr>
                <w:b/>
              </w:rPr>
              <w:t xml:space="preserve">Note</w:t>
            </w:r>
          </w:p>
        </w:tc>
      </w:tr>
      <w:tr>
        <w:tc>
          <w:tcPr>
            <w:tcW w:w="2400" w:type="dxa"/>
          </w:tcPr>
          <w:p>
            <w:pPr>
              <w:pStyle w:val="TableText"/>
            </w:pPr>
            <w:r>
              <w:t xml:space="preserve">NGC 6543 (Cat's Eye Nebula)</w:t>
            </w:r>
          </w:p>
        </w:tc>
        <w:tc>
          <w:tcPr>
            <w:tcW w:w="2400" w:type="dxa"/>
          </w:tcPr>
          <w:p>
            <w:pPr>
              <w:pStyle w:val="TableText"/>
            </w:pPr>
            <w:r>
              <w:t xml:space="preserve">Planetary nebula</w:t>
            </w:r>
          </w:p>
        </w:tc>
        <w:tc>
          <w:tcPr>
            <w:tcW w:w="2400" w:type="dxa"/>
          </w:tcPr>
          <w:p>
            <w:pPr>
              <w:pStyle w:val="TableText"/>
            </w:pPr>
            <w:r>
              <w:t xml:space="preserve">~8.1</w:t>
            </w:r>
          </w:p>
        </w:tc>
        <w:tc>
          <w:tcPr>
            <w:tcW w:w="2400" w:type="dxa"/>
          </w:tcPr>
          <w:p>
            <w:pPr>
              <w:pStyle w:val="TableText"/>
            </w:pPr>
            <w:r>
              <w:t xml:space="preserve">~3,300 ly</w:t>
            </w:r>
          </w:p>
        </w:tc>
        <w:tc>
          <w:tcPr>
            <w:tcW w:w="2400" w:type="dxa"/>
          </w:tcPr>
          <w:p>
            <w:pPr>
              <w:pStyle w:val="TableText"/>
            </w:pPr>
            <w:r>
              <w:t xml:space="preserve">Discovered by William Herschel in 1786; one of the most structurally complex planetary nebulae known, with concentric shells and high-velocity jets visible in deep images.</w:t>
            </w:r>
          </w:p>
        </w:tc>
      </w:tr>
      <w:tr>
        <w:tc>
          <w:tcPr>
            <w:tcW w:w="2400" w:type="dxa"/>
          </w:tcPr>
          <w:p>
            <w:pPr>
              <w:pStyle w:val="TableText"/>
            </w:pPr>
            <w:r>
              <w:t xml:space="preserve">NGC 5866 (Spindle Galaxy)</w:t>
            </w:r>
          </w:p>
        </w:tc>
        <w:tc>
          <w:tcPr>
            <w:tcW w:w="2400" w:type="dxa"/>
          </w:tcPr>
          <w:p>
            <w:pPr>
              <w:pStyle w:val="TableText"/>
            </w:pPr>
            <w:r>
              <w:t xml:space="preserve">Lenticular galaxy</w:t>
            </w:r>
          </w:p>
        </w:tc>
        <w:tc>
          <w:tcPr>
            <w:tcW w:w="2400" w:type="dxa"/>
          </w:tcPr>
          <w:p>
            <w:pPr>
              <w:pStyle w:val="TableText"/>
            </w:pPr>
            <w:r>
              <w:t xml:space="preserve">~10</w:t>
            </w:r>
          </w:p>
        </w:tc>
        <w:tc>
          <w:tcPr>
            <w:tcW w:w="2400" w:type="dxa"/>
          </w:tcPr>
          <w:p>
            <w:pPr>
              <w:pStyle w:val="TableText"/>
            </w:pPr>
            <w:r>
              <w:t xml:space="preserve">~44 million ly</w:t>
            </w:r>
          </w:p>
        </w:tc>
        <w:tc>
          <w:tcPr>
            <w:tcW w:w="2400" w:type="dxa"/>
          </w:tcPr>
          <w:p>
            <w:pPr>
              <w:pStyle w:val="TableText"/>
            </w:pPr>
            <w:r>
              <w:t xml:space="preserve">Sometimes catalogued as Messier 102 — a long-disputed identification, since Messier's own notes for M102 may actually describe a repeat observation of M101.</w:t>
            </w:r>
          </w:p>
        </w:tc>
      </w:tr>
      <w:tr>
        <w:tc>
          <w:tcPr>
            <w:tcW w:w="2400" w:type="dxa"/>
          </w:tcPr>
          <w:p>
            <w:pPr>
              <w:pStyle w:val="TableText"/>
            </w:pPr>
            <w:r>
              <w:t xml:space="preserve">Draco Dwarf Galaxy</w:t>
            </w:r>
          </w:p>
        </w:tc>
        <w:tc>
          <w:tcPr>
            <w:tcW w:w="2400" w:type="dxa"/>
          </w:tcPr>
          <w:p>
            <w:pPr>
              <w:pStyle w:val="TableText"/>
            </w:pPr>
            <w:r>
              <w:t xml:space="preserve">Dwarf spheroidal galaxy</w:t>
            </w:r>
          </w:p>
        </w:tc>
        <w:tc>
          <w:tcPr>
            <w:tcW w:w="2400" w:type="dxa"/>
          </w:tcPr>
          <w:p>
            <w:pPr>
              <w:pStyle w:val="TableText"/>
            </w:pPr>
            <w:r>
              <w:t xml:space="preserve">—</w:t>
            </w:r>
          </w:p>
        </w:tc>
        <w:tc>
          <w:tcPr>
            <w:tcW w:w="2400" w:type="dxa"/>
          </w:tcPr>
          <w:p>
            <w:pPr>
              <w:pStyle w:val="TableText"/>
            </w:pPr>
            <w:r>
              <w:t xml:space="preserve">~260,000 ly</w:t>
            </w:r>
          </w:p>
        </w:tc>
        <w:tc>
          <w:tcPr>
            <w:tcW w:w="2400" w:type="dxa"/>
          </w:tcPr>
          <w:p>
            <w:pPr>
              <w:pStyle w:val="TableText"/>
            </w:pPr>
            <w:r>
              <w:t xml:space="preserve">A Local Group satellite of the Milky Way, discovered by Albert George Wilson in 1954 on Palomar Sky Survey plates; extremely diffuse and not a visual target — its stars are studied statistically, not seen.</w:t>
            </w:r>
          </w:p>
        </w:tc>
      </w:tr>
    </w:tbl>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3942–1793 BCE</w:t>
            </w:r>
          </w:p>
        </w:tc>
        <w:tc>
          <w:tcPr>
            <w:tcW w:w="2400" w:type="dxa"/>
          </w:tcPr>
          <w:p>
            <w:pPr>
              <w:pStyle w:val="TableText"/>
            </w:pPr>
            <w:r>
              <w:t xml:space="preserve">Thuban is the star nearest the north celestial pole, closest around 2830 BCE.</w:t>
            </w:r>
          </w:p>
        </w:tc>
      </w:tr>
      <w:tr>
        <w:tc>
          <w:tcPr>
            <w:tcW w:w="2400" w:type="dxa"/>
          </w:tcPr>
          <w:p>
            <w:pPr>
              <w:pStyle w:val="TableText"/>
            </w:pPr>
            <w:r>
              <w:t xml:space="preserve">c. 2560 BCE</w:t>
            </w:r>
          </w:p>
        </w:tc>
        <w:tc>
          <w:tcPr>
            <w:tcW w:w="2400" w:type="dxa"/>
          </w:tcPr>
          <w:p>
            <w:pPr>
              <w:pStyle w:val="TableText"/>
            </w:pPr>
            <w:r>
              <w:t xml:space="preserve">The Great Pyramid of Giza is built during Thuban's reign as pole star.</w:t>
            </w:r>
          </w:p>
        </w:tc>
      </w:tr>
      <w:tr>
        <w:tc>
          <w:tcPr>
            <w:tcW w:w="2400" w:type="dxa"/>
          </w:tcPr>
          <w:p>
            <w:pPr>
              <w:pStyle w:val="TableText"/>
            </w:pPr>
            <w:r>
              <w:t xml:space="preserve">c. 150 CE</w:t>
            </w:r>
          </w:p>
        </w:tc>
        <w:tc>
          <w:tcPr>
            <w:tcW w:w="2400" w:type="dxa"/>
          </w:tcPr>
          <w:p>
            <w:pPr>
              <w:pStyle w:val="TableText"/>
            </w:pPr>
            <w:r>
              <w:t xml:space="preserve">Ptolemy catalogues Draco among the 48 constellations in the </w:t>
            </w:r>
            <w:r>
              <w:rPr>
                <w:i/>
              </w:rPr>
              <w:t xml:space="preserve">Almagest</w:t>
            </w:r>
            <w:r>
              <w:t xml:space="preserve">.</w:t>
            </w:r>
          </w:p>
        </w:tc>
      </w:tr>
      <w:tr>
        <w:tc>
          <w:tcPr>
            <w:tcW w:w="2400" w:type="dxa"/>
          </w:tcPr>
          <w:p>
            <w:pPr>
              <w:pStyle w:val="TableText"/>
            </w:pPr>
            <w:r>
              <w:t xml:space="preserve">15 February 1786</w:t>
            </w:r>
          </w:p>
        </w:tc>
        <w:tc>
          <w:tcPr>
            <w:tcW w:w="2400" w:type="dxa"/>
          </w:tcPr>
          <w:p>
            <w:pPr>
              <w:pStyle w:val="TableText"/>
            </w:pPr>
            <w:r>
              <w:t xml:space="preserve">William Herschel discovers the Cat's Eye Nebula, NGC 6543.</w:t>
            </w:r>
          </w:p>
        </w:tc>
      </w:tr>
      <w:tr>
        <w:tc>
          <w:tcPr>
            <w:tcW w:w="2400" w:type="dxa"/>
          </w:tcPr>
          <w:p>
            <w:pPr>
              <w:pStyle w:val="TableText"/>
            </w:pPr>
            <w:r>
              <w:t xml:space="preserve">1930</w:t>
            </w:r>
          </w:p>
        </w:tc>
        <w:tc>
          <w:tcPr>
            <w:tcW w:w="2400" w:type="dxa"/>
          </w:tcPr>
          <w:p>
            <w:pPr>
              <w:pStyle w:val="TableText"/>
            </w:pPr>
            <w:r>
              <w:t xml:space="preserve">The IAU fixes the modern constellation boundaries.</w:t>
            </w:r>
          </w:p>
        </w:tc>
      </w:tr>
      <w:tr>
        <w:tc>
          <w:tcPr>
            <w:tcW w:w="2400" w:type="dxa"/>
          </w:tcPr>
          <w:p>
            <w:pPr>
              <w:pStyle w:val="TableText"/>
            </w:pPr>
            <w:r>
              <w:t xml:space="preserve">1954</w:t>
            </w:r>
          </w:p>
        </w:tc>
        <w:tc>
          <w:tcPr>
            <w:tcW w:w="2400" w:type="dxa"/>
          </w:tcPr>
          <w:p>
            <w:pPr>
              <w:pStyle w:val="TableText"/>
            </w:pPr>
            <w:r>
              <w:t xml:space="preserve">Albert George Wilson discovers the Draco Dwarf Galaxy on Palomar Sky Survey plates.</w:t>
            </w:r>
          </w:p>
        </w:tc>
      </w:tr>
      <w:tr>
        <w:tc>
          <w:tcPr>
            <w:tcW w:w="2400" w:type="dxa"/>
          </w:tcPr>
          <w:p>
            <w:pPr>
              <w:pStyle w:val="TableText"/>
            </w:pPr>
            <w:r>
              <w:t xml:space="preserve">present</w:t>
            </w:r>
          </w:p>
        </w:tc>
        <w:tc>
          <w:tcPr>
            <w:tcW w:w="2400" w:type="dxa"/>
          </w:tcPr>
          <w:p>
            <w:pPr>
              <w:pStyle w:val="TableText"/>
            </w:pPr>
            <w:r>
              <w:t xml:space="preserve">Thuban sits about 26° from the pole; Polaris, in </w:t>
            </w:r>
            <w:hyperlink r:id="rId134">
              <w:r>
                <w:rPr>
                  <w:color w:val="1F4E79"/>
                  <w:u w:val="single"/>
                </w:rPr>
                <w:t xml:space="preserve">Ursa Minor</w:t>
              </w:r>
            </w:hyperlink>
            <w:r>
              <w:t xml:space="preserve">, holds the job now.</w:t>
            </w:r>
          </w:p>
        </w:tc>
      </w:tr>
    </w:tbl>
    <w:p/>
    <w:p>
      <w:pPr>
        <w:pStyle w:val="Heading2"/>
      </w:pPr>
      <w:r>
        <w:t xml:space="preserve">Related</w:t>
      </w:r>
    </w:p>
    <w:p>
      <w:pPr>
        <w:pStyle w:val="ListParagraph"/>
        <w:numPr>
          <w:ilvl w:val="0"/>
          <w:numId w:val="1"/>
        </w:numPr>
      </w:pPr>
      <w:hyperlink r:id="rId135">
        <w:r>
          <w:rPr>
            <w:color w:val="1F4E79"/>
            <w:u w:val="single"/>
          </w:rPr>
          <w:t xml:space="preserve">Ursa Major</w:t>
        </w:r>
      </w:hyperlink>
      <w:r>
        <w:t xml:space="preserve"> — Draco's tail tucks against the underside of its bowl; the full explanation of circumpolar visibility from Columbus lives there.</w:t>
      </w:r>
    </w:p>
    <w:p>
      <w:pPr>
        <w:pStyle w:val="ListParagraph"/>
        <w:numPr>
          <w:ilvl w:val="0"/>
          <w:numId w:val="1"/>
        </w:numPr>
      </w:pPr>
      <w:hyperlink r:id="rId136">
        <w:r>
          <w:rPr>
            <w:color w:val="1F4E79"/>
            <w:u w:val="single"/>
          </w:rPr>
          <w:t xml:space="preserve">Ursa Minor</w:t>
        </w:r>
      </w:hyperlink>
      <w:r>
        <w:t xml:space="preserve"> — home of Polaris, the current pole star, and the "Guardians of the Pole" that bracketed the long gap after Thuban.</w:t>
      </w:r>
    </w:p>
    <w:p>
      <w:pPr>
        <w:pStyle w:val="ListParagraph"/>
        <w:numPr>
          <w:ilvl w:val="0"/>
          <w:numId w:val="1"/>
        </w:numPr>
      </w:pPr>
      <w:hyperlink r:id="rId137">
        <w:r>
          <w:rPr>
            <w:color w:val="1F4E79"/>
            <w:u w:val="single"/>
          </w:rPr>
          <w:t xml:space="preserve">Cassiopeia</w:t>
        </w:r>
      </w:hyperlink>
      <w:r>
        <w:t xml:space="preserve"> — the other unmistakable circumpolar landmark, on the far side of the pole from Draco's coils.</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sky/constellations/draco" TargetMode="External"/><Relationship Id="rId101" Type="http://schemas.openxmlformats.org/officeDocument/2006/relationships/hyperlink" Target="https://www.agoramores.com/tags/mythology" TargetMode="External"/><Relationship Id="rId102" Type="http://schemas.openxmlformats.org/officeDocument/2006/relationships/hyperlink" Target="https://www.agoramores.com/sky/constellations/cygnus" TargetMode="External"/><Relationship Id="rId103" Type="http://schemas.openxmlformats.org/officeDocument/2006/relationships/hyperlink" Target="https://www.agoramores.com/sky/constellations/bootes" TargetMode="External"/><Relationship Id="rId104" Type="http://schemas.openxmlformats.org/officeDocument/2006/relationships/hyperlink" Target="https://www.agoramores.com/sky/constellations/corona-borealis" TargetMode="External"/><Relationship Id="rId105" Type="http://schemas.openxmlformats.org/officeDocument/2006/relationships/hyperlink" Target="https://www.agoramores.com/sky/constellations/ursa-minor" TargetMode="External"/><Relationship Id="rId106" Type="http://schemas.openxmlformats.org/officeDocument/2006/relationships/hyperlink" Target="https://www.agoramores.com/sky/constellations/andromeda" TargetMode="External"/><Relationship Id="rId107" Type="http://schemas.openxmlformats.org/officeDocument/2006/relationships/hyperlink" Target="https://www.agoramores.com/sky/constellations/aquila" TargetMode="External"/><Relationship Id="rId108" Type="http://schemas.openxmlformats.org/officeDocument/2006/relationships/hyperlink" Target="https://www.agoramores.com/tags/astronomy" TargetMode="External"/><Relationship Id="rId109" Type="http://schemas.openxmlformats.org/officeDocument/2006/relationships/hyperlink" Target="https://www.agoramores.com/sky/constellations/perseus" TargetMode="External"/><Relationship Id="rId110" Type="http://schemas.openxmlformats.org/officeDocument/2006/relationships/hyperlink" Target="https://www.agoramores.com/sky/constellations/scorpius" TargetMode="External"/><Relationship Id="rId111" Type="http://schemas.openxmlformats.org/officeDocument/2006/relationships/hyperlink" Target="https://www.agoramores.com/sky/constellations/corvus" TargetMode="External"/><Relationship Id="rId112" Type="http://schemas.openxmlformats.org/officeDocument/2006/relationships/hyperlink" Target="https://www.agoramores.com/sky/constellations/auriga" TargetMode="External"/><Relationship Id="rId113" Type="http://schemas.openxmlformats.org/officeDocument/2006/relationships/hyperlink" Target="https://www.agoramores.com/sky/constellations/cancer" TargetMode="External"/><Relationship Id="rId114" Type="http://schemas.openxmlformats.org/officeDocument/2006/relationships/hyperlink" Target="https://www.agoramores.com/sky/constellations/canis-major" TargetMode="External"/><Relationship Id="rId115" Type="http://schemas.openxmlformats.org/officeDocument/2006/relationships/hyperlink" Target="https://www.agoramores.com/tags/constellations" TargetMode="External"/><Relationship Id="rId116" Type="http://schemas.openxmlformats.org/officeDocument/2006/relationships/hyperlink" Target="https://www.agoramores.com/sky/constellations/delphinus" TargetMode="External"/><Relationship Id="rId117" Type="http://schemas.openxmlformats.org/officeDocument/2006/relationships/hyperlink" Target="https://www.agoramores.com/sky/constellations/gemini" TargetMode="External"/><Relationship Id="rId118" Type="http://schemas.openxmlformats.org/officeDocument/2006/relationships/hyperlink" Target="https://www.agoramores.com/sky/constellations/orion" TargetMode="External"/><Relationship Id="rId119" Type="http://schemas.openxmlformats.org/officeDocument/2006/relationships/hyperlink" Target="https://www.agoramores.com/sky/constellations/pegasus" TargetMode="External"/><Relationship Id="rId120" Type="http://schemas.openxmlformats.org/officeDocument/2006/relationships/hyperlink" Target="https://www.agoramores.com/sky/constellations/aries" TargetMode="External"/><Relationship Id="rId121" Type="http://schemas.openxmlformats.org/officeDocument/2006/relationships/hyperlink" Target="https://www.agoramores.com/sky/constellations/hercules" TargetMode="External"/><Relationship Id="rId122" Type="http://schemas.openxmlformats.org/officeDocument/2006/relationships/hyperlink" Target="https://www.agoramores.com/tags/sky" TargetMode="External"/><Relationship Id="rId123" Type="http://schemas.openxmlformats.org/officeDocument/2006/relationships/hyperlink" Target="https://www.agoramores.com/sky/constellations/sagittarius" TargetMode="External"/><Relationship Id="rId124" Type="http://schemas.openxmlformats.org/officeDocument/2006/relationships/hyperlink" Target="https://www.agoramores.com/sky/constellations/virgo" TargetMode="External"/><Relationship Id="rId125" Type="http://schemas.openxmlformats.org/officeDocument/2006/relationships/hyperlink" Target="https://www.agoramores.com/sky/constellations/leo" TargetMode="External"/><Relationship Id="rId126" Type="http://schemas.openxmlformats.org/officeDocument/2006/relationships/hyperlink" Target="https://www.agoramores.com/sky/constellations/taurus" TargetMode="External"/><Relationship Id="rId127" Type="http://schemas.openxmlformats.org/officeDocument/2006/relationships/hyperlink" Target="https://www.agoramores.com/sky/constellations/cepheus" TargetMode="External"/><Relationship Id="rId128" Type="http://schemas.openxmlformats.org/officeDocument/2006/relationships/hyperlink" Target="https://www.agoramores.com/sky/constellations/ursa-major" TargetMode="External"/><Relationship Id="rId129" Type="http://schemas.openxmlformats.org/officeDocument/2006/relationships/hyperlink" Target="https://www.agoramores.com/sky/constellations/ursa-major" TargetMode="External"/><Relationship Id="rId130" Type="http://schemas.openxmlformats.org/officeDocument/2006/relationships/hyperlink" Target="https://www.agoramores.com/sky/constellations/ursa-minor" TargetMode="External"/><Relationship Id="rId131" Type="http://schemas.openxmlformats.org/officeDocument/2006/relationships/hyperlink" Target="https://www.agoramores.com/sky/constellations/ursa-major" TargetMode="External"/><Relationship Id="rId132" Type="http://schemas.openxmlformats.org/officeDocument/2006/relationships/hyperlink" Target="https://www.agoramores.com/sky/constellations/ursa-major" TargetMode="External"/><Relationship Id="rId133" Type="http://schemas.openxmlformats.org/officeDocument/2006/relationships/hyperlink" Target="https://www.agoramores.com/sky/constellations/ursa-minor" TargetMode="External"/><Relationship Id="rId134" Type="http://schemas.openxmlformats.org/officeDocument/2006/relationships/hyperlink" Target="https://www.agoramores.com/sky/constellations/ursa-minor" TargetMode="External"/><Relationship Id="rId135" Type="http://schemas.openxmlformats.org/officeDocument/2006/relationships/hyperlink" Target="https://www.agoramores.com/sky/constellations/ursa-major" TargetMode="External"/><Relationship Id="rId136" Type="http://schemas.openxmlformats.org/officeDocument/2006/relationships/hyperlink" Target="https://www.agoramores.com/sky/constellations/ursa-minor" TargetMode="External"/><Relationship Id="rId137" Type="http://schemas.openxmlformats.org/officeDocument/2006/relationships/hyperlink" Target="https://www.agoramores.com/sky/constellations/cassiopeia"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Draco</dc:title>
  <dc:creator>Agoramores</dc:creator>
  <cp:keywords>sky, constellations, astronomy, mythology</cp:keywords>
  <dcterms:created xsi:type="dcterms:W3CDTF">2026-08-22T04:17:24Z</dcterms:created>
</cp:coreProperties>
</file>