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constellations</w:t>
      </w:r>
    </w:p>
    <w:p>
      <w:pPr>
        <w:pStyle w:val="Subtitle"/>
      </w:pPr>
      <w:hyperlink r:id="rId100">
        <w:r>
          <w:rPr>
            <w:color w:val="1F4E79"/>
            <w:u w:val="single"/>
          </w:rPr>
          <w:t xml:space="preserve">https://www.agoramores.com/sky/constellations</w:t>
        </w:r>
      </w:hyperlink>
    </w:p>
    <w:p>
      <w:pPr>
        <w:pStyle w:val="Subtitle"/>
      </w:pPr>
      <w:r>
        <w:t xml:space="preserve">Tags: sky · constellations · astronomy</w:t>
      </w:r>
    </w:p>
    <w:p>
      <w:pPr>
        <w:pBdr>
          <w:bottom w:val="single" w:sz="6" w:space="1" w:color="808080"/>
        </w:pBdr>
      </w:pPr>
    </w:p>
    <w:p>
      <w:pPr>
        <w:pStyle w:val="Heading1"/>
      </w:pPr>
      <w:r>
        <w:t xml:space="preserve">Constellations</w:t>
      </w:r>
    </w:p>
    <w:p>
      <w:r>
        <w:t xml:space="preserve">There is a sky behind every page of this site, and it is the real one. The stars in it sit at their catalogued right ascensions and declinations, and the whole wheel is turned to the sidereal time on your own clock when the page loads — so what is overhead on screen is close to what is overhead outside. It goes on turning while you read, at one revolution per sidereal day, which is slow enough that nobody has ever caught it moving.</w:t>
      </w:r>
    </w:p>
    <w:p>
      <w:r>
        <w:t xml:space="preserve">At rest it is only stars. No lines. Nobody has ever looked up and found the figures already drawn.</w:t>
      </w:r>
    </w:p>
    <w:p>
      <w:r>
        <w:t xml:space="preserve">Bring the cursor near one and it draws itself. Stay with it and a device fades up behind the lines — the bear, the lyre, the sword, whatever the figure is a picture of. Stay a moment longer and that device turns gold, and once it is gold it is a door: click it and you are on the page below. Twenty-eight figures, twenty-eight doors.</w:t>
      </w:r>
    </w:p>
    <w:p>
      <w:r>
        <w:t xml:space="preserve">This page is the other way in, for anyone who would rather read than hunt.</w:t>
      </w:r>
    </w:p>
    <w:p>
      <w:pPr>
        <w:pStyle w:val="Heading2"/>
      </w:pPr>
      <w:r>
        <w:t xml:space="preserve">The figures</w:t>
      </w:r>
    </w:p>
    <w:p>
      <w:r>
        <w:t xml:space="preserve">Ordered as they cross the meridian through the year. The month is roughly when each stands highest at nine in the evening from central Ohio; the brightest star is the brightest one the site's own chart draws, with its visual magnitude. </w:t>
      </w:r>
      <w:r>
        <w:rPr>
          <w:b/>
        </w:rPr>
        <w:t xml:space="preserve">Circumpolar</w:t>
      </w:r>
      <w:r>
        <w:t xml:space="preserve"> means it never sets from 40°N — </w:t>
      </w:r>
      <w:r>
        <w:rPr>
          <w:i/>
        </w:rPr>
        <w:t xml:space="preserve">partly</w:t>
      </w:r>
      <w:r>
        <w:t xml:space="preserve"> means the figure straddles the line, with some stars circumpolar and some not.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Figure</w:t>
            </w:r>
          </w:p>
        </w:tc>
        <w:tc>
          <w:tcPr>
            <w:tcW w:w="2400" w:type="dxa"/>
          </w:tcPr>
          <w:p>
            <w:pPr>
              <w:pStyle w:val="TableText"/>
            </w:pPr>
            <w:r>
              <w:rPr>
                <w:b/>
              </w:rPr>
              <w:t xml:space="preserve">Brightest star</w:t>
            </w:r>
          </w:p>
        </w:tc>
        <w:tc>
          <w:tcPr>
            <w:tcW w:w="2400" w:type="dxa"/>
          </w:tcPr>
          <w:p>
            <w:pPr>
              <w:pStyle w:val="TableText"/>
            </w:pPr>
            <w:r>
              <w:rPr>
                <w:b/>
              </w:rPr>
              <w:t xml:space="preserve">Highest at 9pm</w:t>
            </w:r>
          </w:p>
        </w:tc>
        <w:tc>
          <w:tcPr>
            <w:tcW w:w="2400" w:type="dxa"/>
          </w:tcPr>
          <w:p>
            <w:pPr>
              <w:pStyle w:val="TableText"/>
            </w:pPr>
            <w:r>
              <w:rPr>
                <w:b/>
              </w:rPr>
              <w:t xml:space="preserve">Circumpolar from 40°N</w:t>
            </w:r>
          </w:p>
        </w:tc>
      </w:tr>
      <w:tr>
        <w:tc>
          <w:tcPr>
            <w:tcW w:w="2400" w:type="dxa"/>
          </w:tcPr>
          <w:p>
            <w:pPr>
              <w:pStyle w:val="TableText"/>
            </w:pPr>
            <w:hyperlink r:id="rId101">
              <w:r>
                <w:rPr>
                  <w:color w:val="1F4E79"/>
                  <w:u w:val="single"/>
                </w:rPr>
                <w:t xml:space="preserve">Andromeda</w:t>
              </w:r>
            </w:hyperlink>
          </w:p>
        </w:tc>
        <w:tc>
          <w:tcPr>
            <w:tcW w:w="2400" w:type="dxa"/>
          </w:tcPr>
          <w:p>
            <w:pPr>
              <w:pStyle w:val="TableText"/>
            </w:pPr>
            <w:r>
              <w:t xml:space="preserve">Mirach (2.05)</w:t>
            </w:r>
          </w:p>
        </w:tc>
        <w:tc>
          <w:tcPr>
            <w:tcW w:w="2400" w:type="dxa"/>
          </w:tcPr>
          <w:p>
            <w:pPr>
              <w:pStyle w:val="TableText"/>
            </w:pPr>
            <w:r>
              <w:t xml:space="preserve">November</w:t>
            </w:r>
          </w:p>
        </w:tc>
        <w:tc>
          <w:tcPr>
            <w:tcW w:w="2400" w:type="dxa"/>
          </w:tcPr>
          <w:p>
            <w:pPr>
              <w:pStyle w:val="TableText"/>
            </w:pPr>
            <w:r>
              <w:t xml:space="preserve">no</w:t>
            </w:r>
          </w:p>
        </w:tc>
      </w:tr>
      <w:tr>
        <w:tc>
          <w:tcPr>
            <w:tcW w:w="2400" w:type="dxa"/>
          </w:tcPr>
          <w:p>
            <w:pPr>
              <w:pStyle w:val="TableText"/>
            </w:pPr>
            <w:hyperlink r:id="rId102">
              <w:r>
                <w:rPr>
                  <w:color w:val="1F4E79"/>
                  <w:u w:val="single"/>
                </w:rPr>
                <w:t xml:space="preserve">Cassiopeia</w:t>
              </w:r>
            </w:hyperlink>
          </w:p>
        </w:tc>
        <w:tc>
          <w:tcPr>
            <w:tcW w:w="2400" w:type="dxa"/>
          </w:tcPr>
          <w:p>
            <w:pPr>
              <w:pStyle w:val="TableText"/>
            </w:pPr>
            <w:r>
              <w:t xml:space="preserve">Gamma (2.15)</w:t>
            </w:r>
          </w:p>
        </w:tc>
        <w:tc>
          <w:tcPr>
            <w:tcW w:w="2400" w:type="dxa"/>
          </w:tcPr>
          <w:p>
            <w:pPr>
              <w:pStyle w:val="TableText"/>
            </w:pPr>
            <w:r>
              <w:t xml:space="preserve">November</w:t>
            </w:r>
          </w:p>
        </w:tc>
        <w:tc>
          <w:tcPr>
            <w:tcW w:w="2400" w:type="dxa"/>
          </w:tcPr>
          <w:p>
            <w:pPr>
              <w:pStyle w:val="TableText"/>
            </w:pPr>
            <w:r>
              <w:t xml:space="preserve">yes</w:t>
            </w:r>
          </w:p>
        </w:tc>
      </w:tr>
      <w:tr>
        <w:tc>
          <w:tcPr>
            <w:tcW w:w="2400" w:type="dxa"/>
          </w:tcPr>
          <w:p>
            <w:pPr>
              <w:pStyle w:val="TableText"/>
            </w:pPr>
            <w:hyperlink r:id="rId103">
              <w:r>
                <w:rPr>
                  <w:color w:val="1F4E79"/>
                  <w:u w:val="single"/>
                </w:rPr>
                <w:t xml:space="preserve">Aries</w:t>
              </w:r>
            </w:hyperlink>
          </w:p>
        </w:tc>
        <w:tc>
          <w:tcPr>
            <w:tcW w:w="2400" w:type="dxa"/>
          </w:tcPr>
          <w:p>
            <w:pPr>
              <w:pStyle w:val="TableText"/>
            </w:pPr>
            <w:r>
              <w:t xml:space="preserve">Hamal (2.01)</w:t>
            </w:r>
          </w:p>
        </w:tc>
        <w:tc>
          <w:tcPr>
            <w:tcW w:w="2400" w:type="dxa"/>
          </w:tcPr>
          <w:p>
            <w:pPr>
              <w:pStyle w:val="TableText"/>
            </w:pPr>
            <w:r>
              <w:t xml:space="preserve">December</w:t>
            </w:r>
          </w:p>
        </w:tc>
        <w:tc>
          <w:tcPr>
            <w:tcW w:w="2400" w:type="dxa"/>
          </w:tcPr>
          <w:p>
            <w:pPr>
              <w:pStyle w:val="TableText"/>
            </w:pPr>
            <w:r>
              <w:t xml:space="preserve">no</w:t>
            </w:r>
          </w:p>
        </w:tc>
      </w:tr>
      <w:tr>
        <w:tc>
          <w:tcPr>
            <w:tcW w:w="2400" w:type="dxa"/>
          </w:tcPr>
          <w:p>
            <w:pPr>
              <w:pStyle w:val="TableText"/>
            </w:pPr>
            <w:hyperlink r:id="rId104">
              <w:r>
                <w:rPr>
                  <w:color w:val="1F4E79"/>
                  <w:u w:val="single"/>
                </w:rPr>
                <w:t xml:space="preserve">Perseus</w:t>
              </w:r>
            </w:hyperlink>
          </w:p>
        </w:tc>
        <w:tc>
          <w:tcPr>
            <w:tcW w:w="2400" w:type="dxa"/>
          </w:tcPr>
          <w:p>
            <w:pPr>
              <w:pStyle w:val="TableText"/>
            </w:pPr>
            <w:r>
              <w:t xml:space="preserve">Mirfak (1.79)</w:t>
            </w:r>
          </w:p>
        </w:tc>
        <w:tc>
          <w:tcPr>
            <w:tcW w:w="2400" w:type="dxa"/>
          </w:tcPr>
          <w:p>
            <w:pPr>
              <w:pStyle w:val="TableText"/>
            </w:pPr>
            <w:r>
              <w:t xml:space="preserve">December</w:t>
            </w:r>
          </w:p>
        </w:tc>
        <w:tc>
          <w:tcPr>
            <w:tcW w:w="2400" w:type="dxa"/>
          </w:tcPr>
          <w:p>
            <w:pPr>
              <w:pStyle w:val="TableText"/>
            </w:pPr>
            <w:r>
              <w:t xml:space="preserve">partly</w:t>
            </w:r>
          </w:p>
        </w:tc>
      </w:tr>
      <w:tr>
        <w:tc>
          <w:tcPr>
            <w:tcW w:w="2400" w:type="dxa"/>
          </w:tcPr>
          <w:p>
            <w:pPr>
              <w:pStyle w:val="TableText"/>
            </w:pPr>
            <w:hyperlink r:id="rId105">
              <w:r>
                <w:rPr>
                  <w:color w:val="1F4E79"/>
                  <w:u w:val="single"/>
                </w:rPr>
                <w:t xml:space="preserve">Taurus</w:t>
              </w:r>
            </w:hyperlink>
          </w:p>
        </w:tc>
        <w:tc>
          <w:tcPr>
            <w:tcW w:w="2400" w:type="dxa"/>
          </w:tcPr>
          <w:p>
            <w:pPr>
              <w:pStyle w:val="TableText"/>
            </w:pPr>
            <w:r>
              <w:t xml:space="preserve">Aldebaran (0.85)</w:t>
            </w:r>
          </w:p>
        </w:tc>
        <w:tc>
          <w:tcPr>
            <w:tcW w:w="2400" w:type="dxa"/>
          </w:tcPr>
          <w:p>
            <w:pPr>
              <w:pStyle w:val="TableText"/>
            </w:pPr>
            <w:r>
              <w:t xml:space="preserve">January</w:t>
            </w:r>
          </w:p>
        </w:tc>
        <w:tc>
          <w:tcPr>
            <w:tcW w:w="2400" w:type="dxa"/>
          </w:tcPr>
          <w:p>
            <w:pPr>
              <w:pStyle w:val="TableText"/>
            </w:pPr>
            <w:r>
              <w:t xml:space="preserve">no</w:t>
            </w:r>
          </w:p>
        </w:tc>
      </w:tr>
      <w:tr>
        <w:tc>
          <w:tcPr>
            <w:tcW w:w="2400" w:type="dxa"/>
          </w:tcPr>
          <w:p>
            <w:pPr>
              <w:pStyle w:val="TableText"/>
            </w:pPr>
            <w:hyperlink r:id="rId106">
              <w:r>
                <w:rPr>
                  <w:color w:val="1F4E79"/>
                  <w:u w:val="single"/>
                </w:rPr>
                <w:t xml:space="preserve">Auriga</w:t>
              </w:r>
            </w:hyperlink>
          </w:p>
        </w:tc>
        <w:tc>
          <w:tcPr>
            <w:tcW w:w="2400" w:type="dxa"/>
          </w:tcPr>
          <w:p>
            <w:pPr>
              <w:pStyle w:val="TableText"/>
            </w:pPr>
            <w:r>
              <w:t xml:space="preserve">Capella (0.08)</w:t>
            </w:r>
          </w:p>
        </w:tc>
        <w:tc>
          <w:tcPr>
            <w:tcW w:w="2400" w:type="dxa"/>
          </w:tcPr>
          <w:p>
            <w:pPr>
              <w:pStyle w:val="TableText"/>
            </w:pPr>
            <w:r>
              <w:t xml:space="preserve">January</w:t>
            </w:r>
          </w:p>
        </w:tc>
        <w:tc>
          <w:tcPr>
            <w:tcW w:w="2400" w:type="dxa"/>
          </w:tcPr>
          <w:p>
            <w:pPr>
              <w:pStyle w:val="TableText"/>
            </w:pPr>
            <w:r>
              <w:t xml:space="preserve">no</w:t>
            </w:r>
          </w:p>
        </w:tc>
      </w:tr>
      <w:tr>
        <w:tc>
          <w:tcPr>
            <w:tcW w:w="2400" w:type="dxa"/>
          </w:tcPr>
          <w:p>
            <w:pPr>
              <w:pStyle w:val="TableText"/>
            </w:pPr>
            <w:hyperlink r:id="rId107">
              <w:r>
                <w:rPr>
                  <w:color w:val="1F4E79"/>
                  <w:u w:val="single"/>
                </w:rPr>
                <w:t xml:space="preserve">Orion</w:t>
              </w:r>
            </w:hyperlink>
          </w:p>
        </w:tc>
        <w:tc>
          <w:tcPr>
            <w:tcW w:w="2400" w:type="dxa"/>
          </w:tcPr>
          <w:p>
            <w:pPr>
              <w:pStyle w:val="TableText"/>
            </w:pPr>
            <w:r>
              <w:t xml:space="preserve">Rigel (0.13)</w:t>
            </w:r>
          </w:p>
        </w:tc>
        <w:tc>
          <w:tcPr>
            <w:tcW w:w="2400" w:type="dxa"/>
          </w:tcPr>
          <w:p>
            <w:pPr>
              <w:pStyle w:val="TableText"/>
            </w:pPr>
            <w:r>
              <w:t xml:space="preserve">January</w:t>
            </w:r>
          </w:p>
        </w:tc>
        <w:tc>
          <w:tcPr>
            <w:tcW w:w="2400" w:type="dxa"/>
          </w:tcPr>
          <w:p>
            <w:pPr>
              <w:pStyle w:val="TableText"/>
            </w:pPr>
            <w:r>
              <w:t xml:space="preserve">no</w:t>
            </w:r>
          </w:p>
        </w:tc>
      </w:tr>
      <w:tr>
        <w:tc>
          <w:tcPr>
            <w:tcW w:w="2400" w:type="dxa"/>
          </w:tcPr>
          <w:p>
            <w:pPr>
              <w:pStyle w:val="TableText"/>
            </w:pPr>
            <w:hyperlink r:id="rId108">
              <w:r>
                <w:rPr>
                  <w:color w:val="1F4E79"/>
                  <w:u w:val="single"/>
                </w:rPr>
                <w:t xml:space="preserve">Canis Major</w:t>
              </w:r>
            </w:hyperlink>
          </w:p>
        </w:tc>
        <w:tc>
          <w:tcPr>
            <w:tcW w:w="2400" w:type="dxa"/>
          </w:tcPr>
          <w:p>
            <w:pPr>
              <w:pStyle w:val="TableText"/>
            </w:pPr>
            <w:r>
              <w:t xml:space="preserve">Sirius (-1.46)</w:t>
            </w:r>
          </w:p>
        </w:tc>
        <w:tc>
          <w:tcPr>
            <w:tcW w:w="2400" w:type="dxa"/>
          </w:tcPr>
          <w:p>
            <w:pPr>
              <w:pStyle w:val="TableText"/>
            </w:pPr>
            <w:r>
              <w:t xml:space="preserve">February</w:t>
            </w:r>
          </w:p>
        </w:tc>
        <w:tc>
          <w:tcPr>
            <w:tcW w:w="2400" w:type="dxa"/>
          </w:tcPr>
          <w:p>
            <w:pPr>
              <w:pStyle w:val="TableText"/>
            </w:pPr>
            <w:r>
              <w:t xml:space="preserve">no</w:t>
            </w:r>
          </w:p>
        </w:tc>
      </w:tr>
      <w:tr>
        <w:tc>
          <w:tcPr>
            <w:tcW w:w="2400" w:type="dxa"/>
          </w:tcPr>
          <w:p>
            <w:pPr>
              <w:pStyle w:val="TableText"/>
            </w:pPr>
            <w:hyperlink r:id="rId109">
              <w:r>
                <w:rPr>
                  <w:color w:val="1F4E79"/>
                  <w:u w:val="single"/>
                </w:rPr>
                <w:t xml:space="preserve">Gemini</w:t>
              </w:r>
            </w:hyperlink>
          </w:p>
        </w:tc>
        <w:tc>
          <w:tcPr>
            <w:tcW w:w="2400" w:type="dxa"/>
          </w:tcPr>
          <w:p>
            <w:pPr>
              <w:pStyle w:val="TableText"/>
            </w:pPr>
            <w:r>
              <w:t xml:space="preserve">Pollux (1.16)</w:t>
            </w:r>
          </w:p>
        </w:tc>
        <w:tc>
          <w:tcPr>
            <w:tcW w:w="2400" w:type="dxa"/>
          </w:tcPr>
          <w:p>
            <w:pPr>
              <w:pStyle w:val="TableText"/>
            </w:pPr>
            <w:r>
              <w:t xml:space="preserve">February</w:t>
            </w:r>
          </w:p>
        </w:tc>
        <w:tc>
          <w:tcPr>
            <w:tcW w:w="2400" w:type="dxa"/>
          </w:tcPr>
          <w:p>
            <w:pPr>
              <w:pStyle w:val="TableText"/>
            </w:pPr>
            <w:r>
              <w:t xml:space="preserve">no</w:t>
            </w:r>
          </w:p>
        </w:tc>
      </w:tr>
      <w:tr>
        <w:tc>
          <w:tcPr>
            <w:tcW w:w="2400" w:type="dxa"/>
          </w:tcPr>
          <w:p>
            <w:pPr>
              <w:pStyle w:val="TableText"/>
            </w:pPr>
            <w:hyperlink r:id="rId110">
              <w:r>
                <w:rPr>
                  <w:color w:val="1F4E79"/>
                  <w:u w:val="single"/>
                </w:rPr>
                <w:t xml:space="preserve">Canis Minor</w:t>
              </w:r>
            </w:hyperlink>
          </w:p>
        </w:tc>
        <w:tc>
          <w:tcPr>
            <w:tcW w:w="2400" w:type="dxa"/>
          </w:tcPr>
          <w:p>
            <w:pPr>
              <w:pStyle w:val="TableText"/>
            </w:pPr>
            <w:r>
              <w:t xml:space="preserve">Procyon (0.34)</w:t>
            </w:r>
          </w:p>
        </w:tc>
        <w:tc>
          <w:tcPr>
            <w:tcW w:w="2400" w:type="dxa"/>
          </w:tcPr>
          <w:p>
            <w:pPr>
              <w:pStyle w:val="TableText"/>
            </w:pPr>
            <w:r>
              <w:t xml:space="preserve">February</w:t>
            </w:r>
          </w:p>
        </w:tc>
        <w:tc>
          <w:tcPr>
            <w:tcW w:w="2400" w:type="dxa"/>
          </w:tcPr>
          <w:p>
            <w:pPr>
              <w:pStyle w:val="TableText"/>
            </w:pPr>
            <w:r>
              <w:t xml:space="preserve">no</w:t>
            </w:r>
          </w:p>
        </w:tc>
      </w:tr>
      <w:tr>
        <w:tc>
          <w:tcPr>
            <w:tcW w:w="2400" w:type="dxa"/>
          </w:tcPr>
          <w:p>
            <w:pPr>
              <w:pStyle w:val="TableText"/>
            </w:pPr>
            <w:hyperlink r:id="rId111">
              <w:r>
                <w:rPr>
                  <w:color w:val="1F4E79"/>
                  <w:u w:val="single"/>
                </w:rPr>
                <w:t xml:space="preserve">Cancer</w:t>
              </w:r>
            </w:hyperlink>
          </w:p>
        </w:tc>
        <w:tc>
          <w:tcPr>
            <w:tcW w:w="2400" w:type="dxa"/>
          </w:tcPr>
          <w:p>
            <w:pPr>
              <w:pStyle w:val="TableText"/>
            </w:pPr>
            <w:r>
              <w:t xml:space="preserve">Altarf (3.53)</w:t>
            </w:r>
          </w:p>
        </w:tc>
        <w:tc>
          <w:tcPr>
            <w:tcW w:w="2400" w:type="dxa"/>
          </w:tcPr>
          <w:p>
            <w:pPr>
              <w:pStyle w:val="TableText"/>
            </w:pPr>
            <w:r>
              <w:t xml:space="preserve">March</w:t>
            </w:r>
          </w:p>
        </w:tc>
        <w:tc>
          <w:tcPr>
            <w:tcW w:w="2400" w:type="dxa"/>
          </w:tcPr>
          <w:p>
            <w:pPr>
              <w:pStyle w:val="TableText"/>
            </w:pPr>
            <w:r>
              <w:t xml:space="preserve">no</w:t>
            </w:r>
          </w:p>
        </w:tc>
      </w:tr>
      <w:tr>
        <w:tc>
          <w:tcPr>
            <w:tcW w:w="2400" w:type="dxa"/>
          </w:tcPr>
          <w:p>
            <w:pPr>
              <w:pStyle w:val="TableText"/>
            </w:pPr>
            <w:hyperlink r:id="rId112">
              <w:r>
                <w:rPr>
                  <w:color w:val="1F4E79"/>
                  <w:u w:val="single"/>
                </w:rPr>
                <w:t xml:space="preserve">Leo</w:t>
              </w:r>
            </w:hyperlink>
          </w:p>
        </w:tc>
        <w:tc>
          <w:tcPr>
            <w:tcW w:w="2400" w:type="dxa"/>
          </w:tcPr>
          <w:p>
            <w:pPr>
              <w:pStyle w:val="TableText"/>
            </w:pPr>
            <w:r>
              <w:t xml:space="preserve">Regulus (1.36)</w:t>
            </w:r>
          </w:p>
        </w:tc>
        <w:tc>
          <w:tcPr>
            <w:tcW w:w="2400" w:type="dxa"/>
          </w:tcPr>
          <w:p>
            <w:pPr>
              <w:pStyle w:val="TableText"/>
            </w:pPr>
            <w:r>
              <w:t xml:space="preserve">April</w:t>
            </w:r>
          </w:p>
        </w:tc>
        <w:tc>
          <w:tcPr>
            <w:tcW w:w="2400" w:type="dxa"/>
          </w:tcPr>
          <w:p>
            <w:pPr>
              <w:pStyle w:val="TableText"/>
            </w:pPr>
            <w:r>
              <w:t xml:space="preserve">no</w:t>
            </w:r>
          </w:p>
        </w:tc>
      </w:tr>
      <w:tr>
        <w:tc>
          <w:tcPr>
            <w:tcW w:w="2400" w:type="dxa"/>
          </w:tcPr>
          <w:p>
            <w:pPr>
              <w:pStyle w:val="TableText"/>
            </w:pPr>
            <w:hyperlink r:id="rId113">
              <w:r>
                <w:rPr>
                  <w:color w:val="1F4E79"/>
                  <w:u w:val="single"/>
                </w:rPr>
                <w:t xml:space="preserve">Corvus</w:t>
              </w:r>
            </w:hyperlink>
          </w:p>
        </w:tc>
        <w:tc>
          <w:tcPr>
            <w:tcW w:w="2400" w:type="dxa"/>
          </w:tcPr>
          <w:p>
            <w:pPr>
              <w:pStyle w:val="TableText"/>
            </w:pPr>
            <w:r>
              <w:t xml:space="preserve">Gienah (2.59)</w:t>
            </w:r>
          </w:p>
        </w:tc>
        <w:tc>
          <w:tcPr>
            <w:tcW w:w="2400" w:type="dxa"/>
          </w:tcPr>
          <w:p>
            <w:pPr>
              <w:pStyle w:val="TableText"/>
            </w:pPr>
            <w:r>
              <w:t xml:space="preserve">May</w:t>
            </w:r>
          </w:p>
        </w:tc>
        <w:tc>
          <w:tcPr>
            <w:tcW w:w="2400" w:type="dxa"/>
          </w:tcPr>
          <w:p>
            <w:pPr>
              <w:pStyle w:val="TableText"/>
            </w:pPr>
            <w:r>
              <w:t xml:space="preserve">no</w:t>
            </w:r>
          </w:p>
        </w:tc>
      </w:tr>
      <w:tr>
        <w:tc>
          <w:tcPr>
            <w:tcW w:w="2400" w:type="dxa"/>
          </w:tcPr>
          <w:p>
            <w:pPr>
              <w:pStyle w:val="TableText"/>
            </w:pPr>
            <w:hyperlink r:id="rId114">
              <w:r>
                <w:rPr>
                  <w:color w:val="1F4E79"/>
                  <w:u w:val="single"/>
                </w:rPr>
                <w:t xml:space="preserve">Ursa Major</w:t>
              </w:r>
            </w:hyperlink>
          </w:p>
        </w:tc>
        <w:tc>
          <w:tcPr>
            <w:tcW w:w="2400" w:type="dxa"/>
          </w:tcPr>
          <w:p>
            <w:pPr>
              <w:pStyle w:val="TableText"/>
            </w:pPr>
            <w:r>
              <w:t xml:space="preserve">Alioth (1.77)</w:t>
            </w:r>
          </w:p>
        </w:tc>
        <w:tc>
          <w:tcPr>
            <w:tcW w:w="2400" w:type="dxa"/>
          </w:tcPr>
          <w:p>
            <w:pPr>
              <w:pStyle w:val="TableText"/>
            </w:pPr>
            <w:r>
              <w:t xml:space="preserve">May</w:t>
            </w:r>
          </w:p>
        </w:tc>
        <w:tc>
          <w:tcPr>
            <w:tcW w:w="2400" w:type="dxa"/>
          </w:tcPr>
          <w:p>
            <w:pPr>
              <w:pStyle w:val="TableText"/>
            </w:pPr>
            <w:r>
              <w:t xml:space="preserve">partly</w:t>
            </w:r>
          </w:p>
        </w:tc>
      </w:tr>
      <w:tr>
        <w:tc>
          <w:tcPr>
            <w:tcW w:w="2400" w:type="dxa"/>
          </w:tcPr>
          <w:p>
            <w:pPr>
              <w:pStyle w:val="TableText"/>
            </w:pPr>
            <w:hyperlink r:id="rId115">
              <w:r>
                <w:rPr>
                  <w:color w:val="1F4E79"/>
                  <w:u w:val="single"/>
                </w:rPr>
                <w:t xml:space="preserve">Virgo</w:t>
              </w:r>
            </w:hyperlink>
          </w:p>
        </w:tc>
        <w:tc>
          <w:tcPr>
            <w:tcW w:w="2400" w:type="dxa"/>
          </w:tcPr>
          <w:p>
            <w:pPr>
              <w:pStyle w:val="TableText"/>
            </w:pPr>
            <w:r>
              <w:t xml:space="preserve">Spica (0.98)</w:t>
            </w:r>
          </w:p>
        </w:tc>
        <w:tc>
          <w:tcPr>
            <w:tcW w:w="2400" w:type="dxa"/>
          </w:tcPr>
          <w:p>
            <w:pPr>
              <w:pStyle w:val="TableText"/>
            </w:pPr>
            <w:r>
              <w:t xml:space="preserve">May</w:t>
            </w:r>
          </w:p>
        </w:tc>
        <w:tc>
          <w:tcPr>
            <w:tcW w:w="2400" w:type="dxa"/>
          </w:tcPr>
          <w:p>
            <w:pPr>
              <w:pStyle w:val="TableText"/>
            </w:pPr>
            <w:r>
              <w:t xml:space="preserve">no</w:t>
            </w:r>
          </w:p>
        </w:tc>
      </w:tr>
      <w:tr>
        <w:tc>
          <w:tcPr>
            <w:tcW w:w="2400" w:type="dxa"/>
          </w:tcPr>
          <w:p>
            <w:pPr>
              <w:pStyle w:val="TableText"/>
            </w:pPr>
            <w:hyperlink r:id="rId116">
              <w:r>
                <w:rPr>
                  <w:color w:val="1F4E79"/>
                  <w:u w:val="single"/>
                </w:rPr>
                <w:t xml:space="preserve">Bootes</w:t>
              </w:r>
            </w:hyperlink>
          </w:p>
        </w:tc>
        <w:tc>
          <w:tcPr>
            <w:tcW w:w="2400" w:type="dxa"/>
          </w:tcPr>
          <w:p>
            <w:pPr>
              <w:pStyle w:val="TableText"/>
            </w:pPr>
            <w:r>
              <w:t xml:space="preserve">Arcturus (-0.05)</w:t>
            </w:r>
          </w:p>
        </w:tc>
        <w:tc>
          <w:tcPr>
            <w:tcW w:w="2400" w:type="dxa"/>
          </w:tcPr>
          <w:p>
            <w:pPr>
              <w:pStyle w:val="TableText"/>
            </w:pPr>
            <w:r>
              <w:t xml:space="preserve">June</w:t>
            </w:r>
          </w:p>
        </w:tc>
        <w:tc>
          <w:tcPr>
            <w:tcW w:w="2400" w:type="dxa"/>
          </w:tcPr>
          <w:p>
            <w:pPr>
              <w:pStyle w:val="TableText"/>
            </w:pPr>
            <w:r>
              <w:t xml:space="preserve">no</w:t>
            </w:r>
          </w:p>
        </w:tc>
      </w:tr>
      <w:tr>
        <w:tc>
          <w:tcPr>
            <w:tcW w:w="2400" w:type="dxa"/>
          </w:tcPr>
          <w:p>
            <w:pPr>
              <w:pStyle w:val="TableText"/>
            </w:pPr>
            <w:hyperlink r:id="rId117">
              <w:r>
                <w:rPr>
                  <w:color w:val="1F4E79"/>
                  <w:u w:val="single"/>
                </w:rPr>
                <w:t xml:space="preserve">Corona Borealis</w:t>
              </w:r>
            </w:hyperlink>
          </w:p>
        </w:tc>
        <w:tc>
          <w:tcPr>
            <w:tcW w:w="2400" w:type="dxa"/>
          </w:tcPr>
          <w:p>
            <w:pPr>
              <w:pStyle w:val="TableText"/>
            </w:pPr>
            <w:r>
              <w:t xml:space="preserve">Alphecca (2.22)</w:t>
            </w:r>
          </w:p>
        </w:tc>
        <w:tc>
          <w:tcPr>
            <w:tcW w:w="2400" w:type="dxa"/>
          </w:tcPr>
          <w:p>
            <w:pPr>
              <w:pStyle w:val="TableText"/>
            </w:pPr>
            <w:r>
              <w:t xml:space="preserve">June</w:t>
            </w:r>
          </w:p>
        </w:tc>
        <w:tc>
          <w:tcPr>
            <w:tcW w:w="2400" w:type="dxa"/>
          </w:tcPr>
          <w:p>
            <w:pPr>
              <w:pStyle w:val="TableText"/>
            </w:pPr>
            <w:r>
              <w:t xml:space="preserve">no</w:t>
            </w:r>
          </w:p>
        </w:tc>
      </w:tr>
      <w:tr>
        <w:tc>
          <w:tcPr>
            <w:tcW w:w="2400" w:type="dxa"/>
          </w:tcPr>
          <w:p>
            <w:pPr>
              <w:pStyle w:val="TableText"/>
            </w:pPr>
            <w:hyperlink r:id="rId118">
              <w:r>
                <w:rPr>
                  <w:color w:val="1F4E79"/>
                  <w:u w:val="single"/>
                </w:rPr>
                <w:t xml:space="preserve">Ursa Minor</w:t>
              </w:r>
            </w:hyperlink>
          </w:p>
        </w:tc>
        <w:tc>
          <w:tcPr>
            <w:tcW w:w="2400" w:type="dxa"/>
          </w:tcPr>
          <w:p>
            <w:pPr>
              <w:pStyle w:val="TableText"/>
            </w:pPr>
            <w:r>
              <w:t xml:space="preserve">Polaris (1.98)</w:t>
            </w:r>
          </w:p>
        </w:tc>
        <w:tc>
          <w:tcPr>
            <w:tcW w:w="2400" w:type="dxa"/>
          </w:tcPr>
          <w:p>
            <w:pPr>
              <w:pStyle w:val="TableText"/>
            </w:pPr>
            <w:r>
              <w:t xml:space="preserve">July</w:t>
            </w:r>
          </w:p>
        </w:tc>
        <w:tc>
          <w:tcPr>
            <w:tcW w:w="2400" w:type="dxa"/>
          </w:tcPr>
          <w:p>
            <w:pPr>
              <w:pStyle w:val="TableText"/>
            </w:pPr>
            <w:r>
              <w:t xml:space="preserve">yes</w:t>
            </w:r>
          </w:p>
        </w:tc>
      </w:tr>
      <w:tr>
        <w:tc>
          <w:tcPr>
            <w:tcW w:w="2400" w:type="dxa"/>
          </w:tcPr>
          <w:p>
            <w:pPr>
              <w:pStyle w:val="TableText"/>
            </w:pPr>
            <w:hyperlink r:id="rId119">
              <w:r>
                <w:rPr>
                  <w:color w:val="1F4E79"/>
                  <w:u w:val="single"/>
                </w:rPr>
                <w:t xml:space="preserve">Draco</w:t>
              </w:r>
            </w:hyperlink>
          </w:p>
        </w:tc>
        <w:tc>
          <w:tcPr>
            <w:tcW w:w="2400" w:type="dxa"/>
          </w:tcPr>
          <w:p>
            <w:pPr>
              <w:pStyle w:val="TableText"/>
            </w:pPr>
            <w:r>
              <w:t xml:space="preserve">Eltanin (2.23)</w:t>
            </w:r>
          </w:p>
        </w:tc>
        <w:tc>
          <w:tcPr>
            <w:tcW w:w="2400" w:type="dxa"/>
          </w:tcPr>
          <w:p>
            <w:pPr>
              <w:pStyle w:val="TableText"/>
            </w:pPr>
            <w:r>
              <w:t xml:space="preserve">July</w:t>
            </w:r>
          </w:p>
        </w:tc>
        <w:tc>
          <w:tcPr>
            <w:tcW w:w="2400" w:type="dxa"/>
          </w:tcPr>
          <w:p>
            <w:pPr>
              <w:pStyle w:val="TableText"/>
            </w:pPr>
            <w:r>
              <w:t xml:space="preserve">yes</w:t>
            </w:r>
          </w:p>
        </w:tc>
      </w:tr>
      <w:tr>
        <w:tc>
          <w:tcPr>
            <w:tcW w:w="2400" w:type="dxa"/>
          </w:tcPr>
          <w:p>
            <w:pPr>
              <w:pStyle w:val="TableText"/>
            </w:pPr>
            <w:hyperlink r:id="rId120">
              <w:r>
                <w:rPr>
                  <w:color w:val="1F4E79"/>
                  <w:u w:val="single"/>
                </w:rPr>
                <w:t xml:space="preserve">Scorpius</w:t>
              </w:r>
            </w:hyperlink>
          </w:p>
        </w:tc>
        <w:tc>
          <w:tcPr>
            <w:tcW w:w="2400" w:type="dxa"/>
          </w:tcPr>
          <w:p>
            <w:pPr>
              <w:pStyle w:val="TableText"/>
            </w:pPr>
            <w:r>
              <w:t xml:space="preserve">Antares (1.06)</w:t>
            </w:r>
          </w:p>
        </w:tc>
        <w:tc>
          <w:tcPr>
            <w:tcW w:w="2400" w:type="dxa"/>
          </w:tcPr>
          <w:p>
            <w:pPr>
              <w:pStyle w:val="TableText"/>
            </w:pPr>
            <w:r>
              <w:t xml:space="preserve">July</w:t>
            </w:r>
          </w:p>
        </w:tc>
        <w:tc>
          <w:tcPr>
            <w:tcW w:w="2400" w:type="dxa"/>
          </w:tcPr>
          <w:p>
            <w:pPr>
              <w:pStyle w:val="TableText"/>
            </w:pPr>
            <w:r>
              <w:t xml:space="preserve">no</w:t>
            </w:r>
          </w:p>
        </w:tc>
      </w:tr>
      <w:tr>
        <w:tc>
          <w:tcPr>
            <w:tcW w:w="2400" w:type="dxa"/>
          </w:tcPr>
          <w:p>
            <w:pPr>
              <w:pStyle w:val="TableText"/>
            </w:pPr>
            <w:hyperlink r:id="rId121">
              <w:r>
                <w:rPr>
                  <w:color w:val="1F4E79"/>
                  <w:u w:val="single"/>
                </w:rPr>
                <w:t xml:space="preserve">Hercules</w:t>
              </w:r>
            </w:hyperlink>
          </w:p>
        </w:tc>
        <w:tc>
          <w:tcPr>
            <w:tcW w:w="2400" w:type="dxa"/>
          </w:tcPr>
          <w:p>
            <w:pPr>
              <w:pStyle w:val="TableText"/>
            </w:pPr>
            <w:r>
              <w:t xml:space="preserve">Kornephoros (2.77)</w:t>
            </w:r>
          </w:p>
        </w:tc>
        <w:tc>
          <w:tcPr>
            <w:tcW w:w="2400" w:type="dxa"/>
          </w:tcPr>
          <w:p>
            <w:pPr>
              <w:pStyle w:val="TableText"/>
            </w:pPr>
            <w:r>
              <w:t xml:space="preserve">July</w:t>
            </w:r>
          </w:p>
        </w:tc>
        <w:tc>
          <w:tcPr>
            <w:tcW w:w="2400" w:type="dxa"/>
          </w:tcPr>
          <w:p>
            <w:pPr>
              <w:pStyle w:val="TableText"/>
            </w:pPr>
            <w:r>
              <w:t xml:space="preserve">no</w:t>
            </w:r>
          </w:p>
        </w:tc>
      </w:tr>
      <w:tr>
        <w:tc>
          <w:tcPr>
            <w:tcW w:w="2400" w:type="dxa"/>
          </w:tcPr>
          <w:p>
            <w:pPr>
              <w:pStyle w:val="TableText"/>
            </w:pPr>
            <w:hyperlink r:id="rId122">
              <w:r>
                <w:rPr>
                  <w:color w:val="1F4E79"/>
                  <w:u w:val="single"/>
                </w:rPr>
                <w:t xml:space="preserve">Sagittarius</w:t>
              </w:r>
            </w:hyperlink>
          </w:p>
        </w:tc>
        <w:tc>
          <w:tcPr>
            <w:tcW w:w="2400" w:type="dxa"/>
          </w:tcPr>
          <w:p>
            <w:pPr>
              <w:pStyle w:val="TableText"/>
            </w:pPr>
            <w:r>
              <w:t xml:space="preserve">Kausaustralis (1.85)</w:t>
            </w:r>
          </w:p>
        </w:tc>
        <w:tc>
          <w:tcPr>
            <w:tcW w:w="2400" w:type="dxa"/>
          </w:tcPr>
          <w:p>
            <w:pPr>
              <w:pStyle w:val="TableText"/>
            </w:pPr>
            <w:r>
              <w:t xml:space="preserve">August</w:t>
            </w:r>
          </w:p>
        </w:tc>
        <w:tc>
          <w:tcPr>
            <w:tcW w:w="2400" w:type="dxa"/>
          </w:tcPr>
          <w:p>
            <w:pPr>
              <w:pStyle w:val="TableText"/>
            </w:pPr>
            <w:r>
              <w:t xml:space="preserve">no</w:t>
            </w:r>
          </w:p>
        </w:tc>
      </w:tr>
      <w:tr>
        <w:tc>
          <w:tcPr>
            <w:tcW w:w="2400" w:type="dxa"/>
          </w:tcPr>
          <w:p>
            <w:pPr>
              <w:pStyle w:val="TableText"/>
            </w:pPr>
            <w:hyperlink r:id="rId123">
              <w:r>
                <w:rPr>
                  <w:color w:val="1F4E79"/>
                  <w:u w:val="single"/>
                </w:rPr>
                <w:t xml:space="preserve">Lyra</w:t>
              </w:r>
            </w:hyperlink>
          </w:p>
        </w:tc>
        <w:tc>
          <w:tcPr>
            <w:tcW w:w="2400" w:type="dxa"/>
          </w:tcPr>
          <w:p>
            <w:pPr>
              <w:pStyle w:val="TableText"/>
            </w:pPr>
            <w:r>
              <w:t xml:space="preserve">Vega (0.03)</w:t>
            </w:r>
          </w:p>
        </w:tc>
        <w:tc>
          <w:tcPr>
            <w:tcW w:w="2400" w:type="dxa"/>
          </w:tcPr>
          <w:p>
            <w:pPr>
              <w:pStyle w:val="TableText"/>
            </w:pPr>
            <w:r>
              <w:t xml:space="preserve">August</w:t>
            </w:r>
          </w:p>
        </w:tc>
        <w:tc>
          <w:tcPr>
            <w:tcW w:w="2400" w:type="dxa"/>
          </w:tcPr>
          <w:p>
            <w:pPr>
              <w:pStyle w:val="TableText"/>
            </w:pPr>
            <w:r>
              <w:t xml:space="preserve">no</w:t>
            </w:r>
          </w:p>
        </w:tc>
      </w:tr>
      <w:tr>
        <w:tc>
          <w:tcPr>
            <w:tcW w:w="2400" w:type="dxa"/>
          </w:tcPr>
          <w:p>
            <w:pPr>
              <w:pStyle w:val="TableText"/>
            </w:pPr>
            <w:hyperlink r:id="rId124">
              <w:r>
                <w:rPr>
                  <w:color w:val="1F4E79"/>
                  <w:u w:val="single"/>
                </w:rPr>
                <w:t xml:space="preserve">Aquila</w:t>
              </w:r>
            </w:hyperlink>
          </w:p>
        </w:tc>
        <w:tc>
          <w:tcPr>
            <w:tcW w:w="2400" w:type="dxa"/>
          </w:tcPr>
          <w:p>
            <w:pPr>
              <w:pStyle w:val="TableText"/>
            </w:pPr>
            <w:r>
              <w:t xml:space="preserve">Altair (0.76)</w:t>
            </w:r>
          </w:p>
        </w:tc>
        <w:tc>
          <w:tcPr>
            <w:tcW w:w="2400" w:type="dxa"/>
          </w:tcPr>
          <w:p>
            <w:pPr>
              <w:pStyle w:val="TableText"/>
            </w:pPr>
            <w:r>
              <w:t xml:space="preserve">August</w:t>
            </w:r>
          </w:p>
        </w:tc>
        <w:tc>
          <w:tcPr>
            <w:tcW w:w="2400" w:type="dxa"/>
          </w:tcPr>
          <w:p>
            <w:pPr>
              <w:pStyle w:val="TableText"/>
            </w:pPr>
            <w:r>
              <w:t xml:space="preserve">no</w:t>
            </w:r>
          </w:p>
        </w:tc>
      </w:tr>
      <w:tr>
        <w:tc>
          <w:tcPr>
            <w:tcW w:w="2400" w:type="dxa"/>
          </w:tcPr>
          <w:p>
            <w:pPr>
              <w:pStyle w:val="TableText"/>
            </w:pPr>
            <w:hyperlink r:id="rId125">
              <w:r>
                <w:rPr>
                  <w:color w:val="1F4E79"/>
                  <w:u w:val="single"/>
                </w:rPr>
                <w:t xml:space="preserve">Cygnus</w:t>
              </w:r>
            </w:hyperlink>
          </w:p>
        </w:tc>
        <w:tc>
          <w:tcPr>
            <w:tcW w:w="2400" w:type="dxa"/>
          </w:tcPr>
          <w:p>
            <w:pPr>
              <w:pStyle w:val="TableText"/>
            </w:pPr>
            <w:r>
              <w:t xml:space="preserve">Deneb (1.25)</w:t>
            </w:r>
          </w:p>
        </w:tc>
        <w:tc>
          <w:tcPr>
            <w:tcW w:w="2400" w:type="dxa"/>
          </w:tcPr>
          <w:p>
            <w:pPr>
              <w:pStyle w:val="TableText"/>
            </w:pPr>
            <w:r>
              <w:t xml:space="preserve">September</w:t>
            </w:r>
          </w:p>
        </w:tc>
        <w:tc>
          <w:tcPr>
            <w:tcW w:w="2400" w:type="dxa"/>
          </w:tcPr>
          <w:p>
            <w:pPr>
              <w:pStyle w:val="TableText"/>
            </w:pPr>
            <w:r>
              <w:t xml:space="preserve">no</w:t>
            </w:r>
          </w:p>
        </w:tc>
      </w:tr>
      <w:tr>
        <w:tc>
          <w:tcPr>
            <w:tcW w:w="2400" w:type="dxa"/>
          </w:tcPr>
          <w:p>
            <w:pPr>
              <w:pStyle w:val="TableText"/>
            </w:pPr>
            <w:hyperlink r:id="rId126">
              <w:r>
                <w:rPr>
                  <w:color w:val="1F4E79"/>
                  <w:u w:val="single"/>
                </w:rPr>
                <w:t xml:space="preserve">Delphinus</w:t>
              </w:r>
            </w:hyperlink>
          </w:p>
        </w:tc>
        <w:tc>
          <w:tcPr>
            <w:tcW w:w="2400" w:type="dxa"/>
          </w:tcPr>
          <w:p>
            <w:pPr>
              <w:pStyle w:val="TableText"/>
            </w:pPr>
            <w:r>
              <w:t xml:space="preserve">Rotanev (3.63)</w:t>
            </w:r>
          </w:p>
        </w:tc>
        <w:tc>
          <w:tcPr>
            <w:tcW w:w="2400" w:type="dxa"/>
          </w:tcPr>
          <w:p>
            <w:pPr>
              <w:pStyle w:val="TableText"/>
            </w:pPr>
            <w:r>
              <w:t xml:space="preserve">September</w:t>
            </w:r>
          </w:p>
        </w:tc>
        <w:tc>
          <w:tcPr>
            <w:tcW w:w="2400" w:type="dxa"/>
          </w:tcPr>
          <w:p>
            <w:pPr>
              <w:pStyle w:val="TableText"/>
            </w:pPr>
            <w:r>
              <w:t xml:space="preserve">no</w:t>
            </w:r>
          </w:p>
        </w:tc>
      </w:tr>
      <w:tr>
        <w:tc>
          <w:tcPr>
            <w:tcW w:w="2400" w:type="dxa"/>
          </w:tcPr>
          <w:p>
            <w:pPr>
              <w:pStyle w:val="TableText"/>
            </w:pPr>
            <w:hyperlink r:id="rId127">
              <w:r>
                <w:rPr>
                  <w:color w:val="1F4E79"/>
                  <w:u w:val="single"/>
                </w:rPr>
                <w:t xml:space="preserve">Cepheus</w:t>
              </w:r>
            </w:hyperlink>
          </w:p>
        </w:tc>
        <w:tc>
          <w:tcPr>
            <w:tcW w:w="2400" w:type="dxa"/>
          </w:tcPr>
          <w:p>
            <w:pPr>
              <w:pStyle w:val="TableText"/>
            </w:pPr>
            <w:r>
              <w:t xml:space="preserve">Alderamin (2.45)</w:t>
            </w:r>
          </w:p>
        </w:tc>
        <w:tc>
          <w:tcPr>
            <w:tcW w:w="2400" w:type="dxa"/>
          </w:tcPr>
          <w:p>
            <w:pPr>
              <w:pStyle w:val="TableText"/>
            </w:pPr>
            <w:r>
              <w:t xml:space="preserve">October</w:t>
            </w:r>
          </w:p>
        </w:tc>
        <w:tc>
          <w:tcPr>
            <w:tcW w:w="2400" w:type="dxa"/>
          </w:tcPr>
          <w:p>
            <w:pPr>
              <w:pStyle w:val="TableText"/>
            </w:pPr>
            <w:r>
              <w:t xml:space="preserve">yes</w:t>
            </w:r>
          </w:p>
        </w:tc>
      </w:tr>
      <w:tr>
        <w:tc>
          <w:tcPr>
            <w:tcW w:w="2400" w:type="dxa"/>
          </w:tcPr>
          <w:p>
            <w:pPr>
              <w:pStyle w:val="TableText"/>
            </w:pPr>
            <w:hyperlink r:id="rId128">
              <w:r>
                <w:rPr>
                  <w:color w:val="1F4E79"/>
                  <w:u w:val="single"/>
                </w:rPr>
                <w:t xml:space="preserve">Pegasus</w:t>
              </w:r>
            </w:hyperlink>
          </w:p>
        </w:tc>
        <w:tc>
          <w:tcPr>
            <w:tcW w:w="2400" w:type="dxa"/>
          </w:tcPr>
          <w:p>
            <w:pPr>
              <w:pStyle w:val="TableText"/>
            </w:pPr>
            <w:r>
              <w:t xml:space="preserve">Alpheratz (2.06)</w:t>
            </w:r>
          </w:p>
        </w:tc>
        <w:tc>
          <w:tcPr>
            <w:tcW w:w="2400" w:type="dxa"/>
          </w:tcPr>
          <w:p>
            <w:pPr>
              <w:pStyle w:val="TableText"/>
            </w:pPr>
            <w:r>
              <w:t xml:space="preserve">October</w:t>
            </w:r>
          </w:p>
        </w:tc>
        <w:tc>
          <w:tcPr>
            <w:tcW w:w="2400" w:type="dxa"/>
          </w:tcPr>
          <w:p>
            <w:pPr>
              <w:pStyle w:val="TableText"/>
            </w:pPr>
            <w:r>
              <w:t xml:space="preserve">no</w:t>
            </w:r>
          </w:p>
        </w:tc>
      </w:tr>
    </w:tbl>
    <w:p/>
    <w:p>
      <w:pPr>
        <w:pStyle w:val="Heading2"/>
      </w:pPr>
      <w:r>
        <w:t xml:space="preserve">What the pages carry</w:t>
      </w:r>
    </w:p>
    <w:p>
      <w:r>
        <w:t xml:space="preserve">Every page is built the same way, so the figures can be read against each other:</w:t>
      </w:r>
    </w:p>
    <w:p>
      <w:pPr>
        <w:pStyle w:val="ListParagraph"/>
        <w:numPr>
          <w:ilvl w:val="0"/>
          <w:numId w:val="1"/>
        </w:numPr>
      </w:pPr>
      <w:r>
        <w:rPr>
          <w:b/>
        </w:rPr>
        <w:t xml:space="preserve">Finding it</w:t>
      </w:r>
      <w:r>
        <w:t xml:space="preserve"> — the star-hop that actually works, the pointer stars, and the season. Written for 40°N, because that is where this site is.</w:t>
      </w:r>
    </w:p>
    <w:p>
      <w:pPr>
        <w:pStyle w:val="ListParagraph"/>
        <w:numPr>
          <w:ilvl w:val="0"/>
          <w:numId w:val="1"/>
        </w:numPr>
      </w:pPr>
      <w:r>
        <w:rPr>
          <w:b/>
        </w:rPr>
        <w:t xml:space="preserve">The stars</w:t>
      </w:r>
      <w:r>
        <w:t xml:space="preserve"> — a table sharing its spine with the chart above, so a coordinate on the page and a star in the sky can never drift apart. Spectral type, distance and etymology sit alongside.</w:t>
      </w:r>
    </w:p>
    <w:p>
      <w:pPr>
        <w:pStyle w:val="ListParagraph"/>
        <w:numPr>
          <w:ilvl w:val="0"/>
          <w:numId w:val="1"/>
        </w:numPr>
      </w:pPr>
      <w:r>
        <w:rPr>
          <w:b/>
        </w:rPr>
        <w:t xml:space="preserve">Myth and history</w:t>
      </w:r>
      <w:r>
        <w:t xml:space="preserve"> — the Greek story, and at least one other tradition given the same seriousness rather than a footnote. Where a claim is late, folkloric or disputed, the page says so instead of picking the better story.</w:t>
      </w:r>
    </w:p>
    <w:p>
      <w:pPr>
        <w:pStyle w:val="ListParagraph"/>
        <w:numPr>
          <w:ilvl w:val="0"/>
          <w:numId w:val="1"/>
        </w:numPr>
      </w:pPr>
      <w:r>
        <w:rPr>
          <w:b/>
        </w:rPr>
        <w:t xml:space="preserve">Deep sky</w:t>
      </w:r>
      <w:r>
        <w:t xml:space="preserve"> — what is in it worth binoculars or a telescope.</w:t>
      </w:r>
    </w:p>
    <w:p>
      <w:pPr>
        <w:pStyle w:val="ListParagraph"/>
        <w:numPr>
          <w:ilvl w:val="0"/>
          <w:numId w:val="1"/>
        </w:numPr>
      </w:pPr>
      <w:r>
        <w:rPr>
          <w:b/>
        </w:rPr>
        <w:t xml:space="preserve">Key dates</w:t>
      </w:r>
      <w:r>
        <w:t xml:space="preserve"> — first attestation, the text that fixed the figure, the observation that changed what it meant.</w:t>
      </w:r>
    </w:p>
    <w:p>
      <w:pPr>
        <w:pStyle w:val="Heading2"/>
      </w:pPr>
      <w:r>
        <w:t xml:space="preserve">What is not here</w:t>
      </w:r>
    </w:p>
    <w:p>
      <w:r>
        <w:t xml:space="preserve">These twenty-eight are the figures a reader at this latitude is likely to recognise, not the eighty-eight the IAU recognises. The far southern constellations are absent because they never clear the horizon from Ohio, and a Southern Cross nobody in the audience can see is decoration rather than a sky. Libra is absent for a duller reason: it is a faint quadrilateral that nobody finds by eye, and its two brightest stars are still named for the claws of </w:t>
      </w:r>
      <w:hyperlink r:id="rId129">
        <w:r>
          <w:rPr>
            <w:color w:val="1F4E79"/>
            <w:u w:val="single"/>
          </w:rPr>
          <w:t xml:space="preserve">Scorpius</w:t>
        </w:r>
      </w:hyperlink>
      <w:r>
        <w:t xml:space="preserve">, which is where they came from.</w:t>
      </w:r>
    </w:p>
    <w:p>
      <w:r>
        <w:t xml:space="preserve">Individual stars do not have pages yet. That work is queued.</w:t>
      </w:r>
    </w:p>
    <w:p>
      <w:pPr>
        <w:pStyle w:val="Heading2"/>
      </w:pPr>
      <w:r>
        <w:t xml:space="preserve">Related</w:t>
      </w:r>
    </w:p>
    <w:p>
      <w:pPr>
        <w:pStyle w:val="ListParagraph"/>
        <w:numPr>
          <w:ilvl w:val="0"/>
          <w:numId w:val="1"/>
        </w:numPr>
      </w:pPr>
      <w:hyperlink r:id="rId130">
        <w:r>
          <w:rPr>
            <w:color w:val="1F4E79"/>
            <w:u w:val="single"/>
          </w:rPr>
          <w:t xml:space="preserve">World Zodiacs</w:t>
        </w:r>
      </w:hyperlink>
      <w:r>
        <w:t xml:space="preserve"> — the twelve signs are not the twelve constellations, and the twenty-odd degrees of precession between them is the whole reason both sets exist. Each zodiac figure here links to its sign, and back.</w:t>
      </w:r>
    </w:p>
    <w:p>
      <w:pPr>
        <w:pStyle w:val="ListParagraph"/>
        <w:numPr>
          <w:ilvl w:val="0"/>
          <w:numId w:val="1"/>
        </w:numPr>
      </w:pPr>
      <w:hyperlink r:id="rId131">
        <w:r>
          <w:rPr>
            <w:color w:val="1F4E79"/>
            <w:u w:val="single"/>
          </w:rPr>
          <w:t xml:space="preserve">Lunar Calendar</w:t>
        </w:r>
      </w:hyperlink>
      <w:r>
        <w:t xml:space="preserve"> — the moon's own round, which the breadcrumb strip reads out on every page.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 TargetMode="External"/><Relationship Id="rId101" Type="http://schemas.openxmlformats.org/officeDocument/2006/relationships/hyperlink" Target="https://www.agoramores.com/sky/constellations/andromeda" TargetMode="External"/><Relationship Id="rId102" Type="http://schemas.openxmlformats.org/officeDocument/2006/relationships/hyperlink" Target="https://www.agoramores.com/sky/constellations/cassiopeia" TargetMode="External"/><Relationship Id="rId103" Type="http://schemas.openxmlformats.org/officeDocument/2006/relationships/hyperlink" Target="https://www.agoramores.com/sky/constellations/aries" TargetMode="External"/><Relationship Id="rId104" Type="http://schemas.openxmlformats.org/officeDocument/2006/relationships/hyperlink" Target="https://www.agoramores.com/sky/constellations/perseus" TargetMode="External"/><Relationship Id="rId105" Type="http://schemas.openxmlformats.org/officeDocument/2006/relationships/hyperlink" Target="https://www.agoramores.com/sky/constellations/taurus" TargetMode="External"/><Relationship Id="rId106" Type="http://schemas.openxmlformats.org/officeDocument/2006/relationships/hyperlink" Target="https://www.agoramores.com/sky/constellations/auriga" TargetMode="External"/><Relationship Id="rId107" Type="http://schemas.openxmlformats.org/officeDocument/2006/relationships/hyperlink" Target="https://www.agoramores.com/sky/constellations/orion" TargetMode="External"/><Relationship Id="rId108" Type="http://schemas.openxmlformats.org/officeDocument/2006/relationships/hyperlink" Target="https://www.agoramores.com/sky/constellations/canis-major" TargetMode="External"/><Relationship Id="rId109" Type="http://schemas.openxmlformats.org/officeDocument/2006/relationships/hyperlink" Target="https://www.agoramores.com/sky/constellations/gemini" TargetMode="External"/><Relationship Id="rId110" Type="http://schemas.openxmlformats.org/officeDocument/2006/relationships/hyperlink" Target="https://www.agoramores.com/sky/constellations/canis-minor" TargetMode="External"/><Relationship Id="rId111" Type="http://schemas.openxmlformats.org/officeDocument/2006/relationships/hyperlink" Target="https://www.agoramores.com/sky/constellations/cancer" TargetMode="External"/><Relationship Id="rId112" Type="http://schemas.openxmlformats.org/officeDocument/2006/relationships/hyperlink" Target="https://www.agoramores.com/sky/constellations/leo" TargetMode="External"/><Relationship Id="rId113" Type="http://schemas.openxmlformats.org/officeDocument/2006/relationships/hyperlink" Target="https://www.agoramores.com/sky/constellations/corvus" TargetMode="External"/><Relationship Id="rId114" Type="http://schemas.openxmlformats.org/officeDocument/2006/relationships/hyperlink" Target="https://www.agoramores.com/sky/constellations/ursa-major" TargetMode="External"/><Relationship Id="rId115" Type="http://schemas.openxmlformats.org/officeDocument/2006/relationships/hyperlink" Target="https://www.agoramores.com/sky/constellations/virgo" TargetMode="External"/><Relationship Id="rId116" Type="http://schemas.openxmlformats.org/officeDocument/2006/relationships/hyperlink" Target="https://www.agoramores.com/sky/constellations/bootes" TargetMode="External"/><Relationship Id="rId117" Type="http://schemas.openxmlformats.org/officeDocument/2006/relationships/hyperlink" Target="https://www.agoramores.com/sky/constellations/corona-borealis" TargetMode="External"/><Relationship Id="rId118" Type="http://schemas.openxmlformats.org/officeDocument/2006/relationships/hyperlink" Target="https://www.agoramores.com/sky/constellations/ursa-minor" TargetMode="External"/><Relationship Id="rId119" Type="http://schemas.openxmlformats.org/officeDocument/2006/relationships/hyperlink" Target="https://www.agoramores.com/sky/constellations/draco" TargetMode="External"/><Relationship Id="rId120" Type="http://schemas.openxmlformats.org/officeDocument/2006/relationships/hyperlink" Target="https://www.agoramores.com/sky/constellations/scorpiu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sky/constellations/sagittarius" TargetMode="External"/><Relationship Id="rId123" Type="http://schemas.openxmlformats.org/officeDocument/2006/relationships/hyperlink" Target="https://www.agoramores.com/sky/constellations/lyra" TargetMode="External"/><Relationship Id="rId124" Type="http://schemas.openxmlformats.org/officeDocument/2006/relationships/hyperlink" Target="https://www.agoramores.com/sky/constellations/aquila" TargetMode="External"/><Relationship Id="rId125" Type="http://schemas.openxmlformats.org/officeDocument/2006/relationships/hyperlink" Target="https://www.agoramores.com/sky/constellations/cygnus" TargetMode="External"/><Relationship Id="rId126" Type="http://schemas.openxmlformats.org/officeDocument/2006/relationships/hyperlink" Target="https://www.agoramores.com/sky/constellations/delphin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pegasus" TargetMode="External"/><Relationship Id="rId129" Type="http://schemas.openxmlformats.org/officeDocument/2006/relationships/hyperlink" Target="https://www.agoramores.com/sky/constellations/scorpius" TargetMode="External"/><Relationship Id="rId130" Type="http://schemas.openxmlformats.org/officeDocument/2006/relationships/hyperlink" Target="https://www.agoramores.com/culture/zodiac/portal" TargetMode="External"/><Relationship Id="rId131" Type="http://schemas.openxmlformats.org/officeDocument/2006/relationships/hyperlink" Target="https://www.agoramores.com/calendar/lunar-calendar"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constellations</dc:title>
  <dc:creator>Agoramores</dc:creator>
  <cp:keywords>sky, constellations, astronomy</cp:keywords>
  <dcterms:created xsi:type="dcterms:W3CDTF">2026-08-21T02:07:11Z</dcterms:created>
</cp:coreProperties>
</file>