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waterfowl migration</w:t>
      </w:r>
    </w:p>
    <w:p>
      <w:pPr>
        <w:pStyle w:val="Subtitle"/>
      </w:pPr>
      <w:hyperlink r:id="rId100">
        <w:r>
          <w:rPr>
            <w:color w:val="1F4E79"/>
            <w:u w:val="single"/>
          </w:rPr>
          <w:t xml:space="preserve">https://www.agoramores.com/places/nature/ohio-waterfowl-migration</w:t>
        </w:r>
      </w:hyperlink>
    </w:p>
    <w:p>
      <w:pPr>
        <w:pStyle w:val="Subtitle"/>
      </w:pPr>
      <w:r>
        <w:t xml:space="preserve">Tags: places · nature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ohio birds</w:t>
        </w:r>
      </w:hyperlink>
    </w:p>
    <w:p>
      <w:pPr>
        <w:pStyle w:val="ListParagraph"/>
        <w:numPr>
          <w:ilvl w:val="0"/>
          <w:numId w:val="1"/>
        </w:numPr>
      </w:pPr>
      <w:hyperlink r:id="rId103">
        <w:r>
          <w:rPr>
            <w:color w:val="1F4E79"/>
            <w:u w:val="single"/>
          </w:rPr>
          <w:t xml:space="preserve">Seasonal Activities out of Town</w:t>
        </w:r>
      </w:hyperlink>
    </w:p>
    <w:p>
      <w:pPr>
        <w:pStyle w:val="ListParagraph"/>
        <w:numPr>
          <w:ilvl w:val="0"/>
          <w:numId w:val="1"/>
        </w:numPr>
      </w:pPr>
      <w:hyperlink r:id="rId104">
        <w:r>
          <w:rPr>
            <w:color w:val="1F4E79"/>
            <w:u w:val="single"/>
          </w:rPr>
          <w:t xml:space="preserve">ohio bird checklist</w:t>
        </w:r>
      </w:hyperlink>
    </w:p>
    <w:p>
      <w:pPr>
        <w:pStyle w:val="ListParagraph"/>
        <w:numPr>
          <w:ilvl w:val="0"/>
          <w:numId w:val="1"/>
        </w:numPr>
      </w:pPr>
      <w:hyperlink r:id="rId105">
        <w:r>
          <w:rPr>
            <w:color w:val="1F4E79"/>
            <w:u w:val="single"/>
          </w:rPr>
          <w:t xml:space="preserve">Columbus, Oh</w:t>
        </w:r>
      </w:hyperlink>
    </w:p>
    <w:p>
      <w:pPr>
        <w:pStyle w:val="ListParagraph"/>
        <w:numPr>
          <w:ilvl w:val="0"/>
          <w:numId w:val="1"/>
        </w:numPr>
      </w:pPr>
      <w:hyperlink r:id="rId106">
        <w:r>
          <w:rPr>
            <w:color w:val="1F4E79"/>
            <w:u w:val="single"/>
          </w:rPr>
          <w:t xml:space="preserve">Top Ten Nutritionally Dense Fruit To Grow In Ohio</w:t>
        </w:r>
      </w:hyperlink>
    </w:p>
    <w:p>
      <w:pPr>
        <w:pStyle w:val="ListParagraph"/>
        <w:numPr>
          <w:ilvl w:val="0"/>
          <w:numId w:val="1"/>
        </w:numPr>
      </w:pPr>
      <w:hyperlink r:id="rId107">
        <w:r>
          <w:rPr>
            <w:color w:val="1F4E79"/>
            <w:u w:val="single"/>
          </w:rPr>
          <w:t xml:space="preserve">Columbus Nepali and Bhutan Food</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Poultry</w:t>
        </w:r>
      </w:hyperlink>
    </w:p>
    <w:p>
      <w:pPr>
        <w:pStyle w:val="ListParagraph"/>
        <w:numPr>
          <w:ilvl w:val="0"/>
          <w:numId w:val="1"/>
        </w:numPr>
      </w:pPr>
      <w:hyperlink r:id="rId112">
        <w:r>
          <w:rPr>
            <w:color w:val="1F4E79"/>
            <w:u w:val="single"/>
          </w:rPr>
          <w:t xml:space="preserve">Peanuts</w:t>
        </w:r>
      </w:hyperlink>
    </w:p>
    <w:p>
      <w:pPr>
        <w:pStyle w:val="ListParagraph"/>
        <w:numPr>
          <w:ilvl w:val="0"/>
          <w:numId w:val="1"/>
        </w:numPr>
      </w:pPr>
      <w:hyperlink r:id="rId113">
        <w:r>
          <w:rPr>
            <w:color w:val="1F4E79"/>
            <w:u w:val="single"/>
          </w:rPr>
          <w:t xml:space="preserve">cheap eating</w:t>
        </w:r>
      </w:hyperlink>
    </w:p>
    <w:p>
      <w:pPr>
        <w:pStyle w:val="ListParagraph"/>
        <w:numPr>
          <w:ilvl w:val="0"/>
          <w:numId w:val="1"/>
        </w:numPr>
      </w:pPr>
      <w:hyperlink r:id="rId114">
        <w:r>
          <w:rPr>
            <w:color w:val="1F4E79"/>
            <w:u w:val="single"/>
          </w:rPr>
          <w:t xml:space="preserve">Dried Fruit</w:t>
        </w:r>
      </w:hyperlink>
    </w:p>
    <w:p>
      <w:pPr>
        <w:pStyle w:val="Heading2"/>
      </w:pPr>
      <w:hyperlink r:id="rId115">
        <w:r>
          <w:rPr>
            <w:color w:val="1F4E79"/>
            <w:u w:val="single"/>
          </w:rPr>
          <w:t xml:space="preserve">nature</w:t>
        </w:r>
      </w:hyperlink>
    </w:p>
    <w:p>
      <w:pPr>
        <w:pStyle w:val="ListParagraph"/>
        <w:numPr>
          <w:ilvl w:val="0"/>
          <w:numId w:val="1"/>
        </w:numPr>
      </w:pPr>
      <w:hyperlink r:id="rId116">
        <w:r>
          <w:rPr>
            <w:color w:val="1F4E79"/>
            <w:u w:val="single"/>
          </w:rPr>
          <w:t xml:space="preserve">nature</w:t>
        </w:r>
      </w:hyperlink>
    </w:p>
    <w:p>
      <w:pPr>
        <w:pStyle w:val="ListParagraph"/>
        <w:numPr>
          <w:ilvl w:val="0"/>
          <w:numId w:val="1"/>
        </w:numPr>
      </w:pPr>
      <w:hyperlink r:id="rId117">
        <w:r>
          <w:rPr>
            <w:color w:val="1F4E79"/>
            <w:u w:val="single"/>
          </w:rPr>
          <w:t xml:space="preserve">ohio wild mushroom seasons</w:t>
        </w:r>
      </w:hyperlink>
    </w:p>
    <w:p>
      <w:pPr>
        <w:pStyle w:val="ListParagraph"/>
        <w:numPr>
          <w:ilvl w:val="0"/>
          <w:numId w:val="1"/>
        </w:numPr>
      </w:pPr>
      <w:hyperlink r:id="rId118">
        <w:r>
          <w:rPr>
            <w:color w:val="1F4E79"/>
            <w:u w:val="single"/>
          </w:rPr>
          <w:t xml:space="preserve">Acadian Hairstreak</w:t>
        </w:r>
      </w:hyperlink>
    </w:p>
    <w:p>
      <w:pPr>
        <w:pStyle w:val="ListParagraph"/>
        <w:numPr>
          <w:ilvl w:val="0"/>
          <w:numId w:val="1"/>
        </w:numPr>
      </w:pPr>
      <w:hyperlink r:id="rId119">
        <w:r>
          <w:rPr>
            <w:color w:val="1F4E79"/>
            <w:u w:val="single"/>
          </w:rPr>
          <w:t xml:space="preserve">Ailanthus Webworm Moth</w:t>
        </w:r>
      </w:hyperlink>
    </w:p>
    <w:p>
      <w:pPr>
        <w:pStyle w:val="ListParagraph"/>
        <w:numPr>
          <w:ilvl w:val="0"/>
          <w:numId w:val="1"/>
        </w:numPr>
      </w:pPr>
      <w:hyperlink r:id="rId120">
        <w:r>
          <w:rPr>
            <w:color w:val="1F4E79"/>
            <w:u w:val="single"/>
          </w:rPr>
          <w:t xml:space="preserve">Alder Flycatcher</w:t>
        </w:r>
      </w:hyperlink>
    </w:p>
    <w:p>
      <w:pPr>
        <w:pStyle w:val="ListParagraph"/>
        <w:numPr>
          <w:ilvl w:val="0"/>
          <w:numId w:val="1"/>
        </w:numPr>
      </w:pPr>
      <w:hyperlink r:id="rId121">
        <w:r>
          <w:rPr>
            <w:color w:val="1F4E79"/>
            <w:u w:val="single"/>
          </w:rPr>
          <w:t xml:space="preserve">American Goldfinch</w:t>
        </w:r>
      </w:hyperlink>
    </w:p>
    <w:p>
      <w:pPr>
        <w:pStyle w:val="Heading2"/>
      </w:pPr>
      <w:hyperlink r:id="rId122">
        <w:r>
          <w:rPr>
            <w:color w:val="1F4E79"/>
            <w:u w:val="single"/>
          </w:rPr>
          <w:t xml:space="preserve">places</w:t>
        </w:r>
      </w:hyperlink>
    </w:p>
    <w:p>
      <w:pPr>
        <w:pStyle w:val="ListParagraph"/>
        <w:numPr>
          <w:ilvl w:val="0"/>
          <w:numId w:val="1"/>
        </w:numPr>
      </w:pPr>
      <w:hyperlink r:id="rId123">
        <w:r>
          <w:rPr>
            <w:color w:val="1F4E79"/>
            <w:u w:val="single"/>
          </w:rPr>
          <w:t xml:space="preserve">Montana</w:t>
        </w:r>
      </w:hyperlink>
    </w:p>
    <w:p>
      <w:pPr>
        <w:pStyle w:val="ListParagraph"/>
        <w:numPr>
          <w:ilvl w:val="0"/>
          <w:numId w:val="1"/>
        </w:numPr>
      </w:pPr>
      <w:hyperlink r:id="rId124">
        <w:r>
          <w:rPr>
            <w:color w:val="1F4E79"/>
            <w:u w:val="single"/>
          </w:rPr>
          <w:t xml:space="preserve">countries</w:t>
        </w:r>
      </w:hyperlink>
    </w:p>
    <w:p>
      <w:pPr>
        <w:pStyle w:val="ListParagraph"/>
        <w:numPr>
          <w:ilvl w:val="0"/>
          <w:numId w:val="1"/>
        </w:numPr>
      </w:pPr>
      <w:hyperlink r:id="rId125">
        <w:r>
          <w:rPr>
            <w:color w:val="1F4E79"/>
            <w:u w:val="single"/>
          </w:rPr>
          <w:t xml:space="preserve">Mexico</w:t>
        </w:r>
      </w:hyperlink>
    </w:p>
    <w:p>
      <w:pPr>
        <w:pStyle w:val="ListParagraph"/>
        <w:numPr>
          <w:ilvl w:val="0"/>
          <w:numId w:val="1"/>
        </w:numPr>
      </w:pPr>
      <w:hyperlink r:id="rId126">
        <w:r>
          <w:rPr>
            <w:color w:val="1F4E79"/>
            <w:u w:val="single"/>
          </w:rPr>
          <w:t xml:space="preserve">India</w:t>
        </w:r>
      </w:hyperlink>
    </w:p>
    <w:p>
      <w:pPr>
        <w:pStyle w:val="ListParagraph"/>
        <w:numPr>
          <w:ilvl w:val="0"/>
          <w:numId w:val="1"/>
        </w:numPr>
      </w:pPr>
      <w:hyperlink r:id="rId127">
        <w:r>
          <w:rPr>
            <w:color w:val="1F4E79"/>
            <w:u w:val="single"/>
          </w:rPr>
          <w:t xml:space="preserve">tourism</w:t>
        </w:r>
      </w:hyperlink>
    </w:p>
    <w:p>
      <w:pPr>
        <w:pStyle w:val="ListParagraph"/>
        <w:numPr>
          <w:ilvl w:val="0"/>
          <w:numId w:val="1"/>
        </w:numPr>
      </w:pPr>
      <w:hyperlink r:id="rId128">
        <w:r>
          <w:rPr>
            <w:color w:val="1F4E79"/>
            <w:u w:val="single"/>
          </w:rPr>
          <w:t xml:space="preserve">states</w:t>
        </w:r>
      </w:hyperlink>
    </w:p>
    <w:p>
      <w:pPr>
        <w:pStyle w:val="Heading1"/>
      </w:pPr>
      <w:r>
        <w:t xml:space="preserve">Ohio Waterfowl Migration</w:t>
      </w:r>
    </w:p>
    <w:p>
      <w:r>
        <w:t xml:space="preserve">Ducks, geese and swans are the first passage of the year and the last, and they are the only guild on the bird chart that moves on ice rather than on daylight. The flight follows the thaw north in February and the freeze south in November, which is why waterfowl are the one group whose timing shifts by a fortnight between a mild year and a hard one.</w:t>
      </w:r>
    </w:p>
    <w:p>
      <w:pPr>
        <w:pStyle w:val="Heading2"/>
      </w:pPr>
      <w:r>
        <w:t xml:space="preserve">Why this group has its own gauge</w:t>
      </w:r>
    </w:p>
    <w:p>
      <w:r>
        <w:t xml:space="preserve">It holds its own seat because it peaks in the third week of February, six weeks before anything else on the chart is moving at all. The chart above carries 9 species, sliced out of the full 67-row bird chart.</w:t>
      </w:r>
    </w:p>
    <w:p>
      <w:pPr>
        <w:pStyle w:val="Heading2"/>
      </w:pPr>
      <w:r>
        <w:t xml:space="preserve">The rows on this chart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Species</w:t>
            </w:r>
          </w:p>
        </w:tc>
        <w:tc>
          <w:tcPr>
            <w:tcW w:w="2400" w:type="dxa"/>
          </w:tcPr>
          <w:p>
            <w:pPr>
              <w:pStyle w:val="TableText"/>
            </w:pPr>
            <w:r>
              <w:rPr>
                <w:b/>
              </w:rPr>
              <w:t xml:space="preserve">Northbound</w:t>
            </w:r>
          </w:p>
        </w:tc>
        <w:tc>
          <w:tcPr>
            <w:tcW w:w="2400" w:type="dxa"/>
          </w:tcPr>
          <w:p>
            <w:pPr>
              <w:pStyle w:val="TableText"/>
            </w:pPr>
            <w:r>
              <w:rPr>
                <w:b/>
              </w:rPr>
              <w:t xml:space="preserve">Southbound</w:t>
            </w:r>
          </w:p>
        </w:tc>
        <w:tc>
          <w:tcPr>
            <w:tcW w:w="2400" w:type="dxa"/>
          </w:tcPr>
          <w:p>
            <w:pPr>
              <w:pStyle w:val="TableText"/>
            </w:pPr>
            <w:r>
              <w:rPr>
                <w:b/>
              </w:rPr>
              <w:t xml:space="preserve">Winters</w:t>
            </w:r>
          </w:p>
        </w:tc>
      </w:tr>
      <w:tr>
        <w:tc>
          <w:tcPr>
            <w:tcW w:w="2400" w:type="dxa"/>
          </w:tcPr>
          <w:p>
            <w:pPr>
              <w:pStyle w:val="TableText"/>
            </w:pPr>
            <w:r>
              <w:rPr>
                <w:b/>
              </w:rPr>
              <w:t xml:space="preserve">Tundra Swan</w:t>
            </w:r>
          </w:p>
        </w:tc>
        <w:tc>
          <w:tcPr>
            <w:tcW w:w="2400" w:type="dxa"/>
          </w:tcPr>
          <w:p>
            <w:pPr>
              <w:pStyle w:val="TableText"/>
            </w:pPr>
            <w:r>
              <w:t xml:space="preserve">20 February – 31 March</w:t>
            </w:r>
          </w:p>
        </w:tc>
        <w:tc>
          <w:tcPr>
            <w:tcW w:w="2400" w:type="dxa"/>
          </w:tcPr>
          <w:p>
            <w:pPr>
              <w:pStyle w:val="TableText"/>
            </w:pPr>
            <w:r>
              <w:t xml:space="preserve">25 October – 10 December</w:t>
            </w:r>
          </w:p>
        </w:tc>
        <w:tc>
          <w:tcPr>
            <w:tcW w:w="2400" w:type="dxa"/>
          </w:tcPr>
          <w:p>
            <w:pPr>
              <w:pStyle w:val="TableText"/>
            </w:pPr>
            <w:r>
              <w:t xml:space="preserve">Chesapeake Bay and the mid-Atlantic</w:t>
            </w:r>
          </w:p>
        </w:tc>
      </w:tr>
      <w:tr>
        <w:tc>
          <w:tcPr>
            <w:tcW w:w="2400" w:type="dxa"/>
          </w:tcPr>
          <w:p>
            <w:pPr>
              <w:pStyle w:val="TableText"/>
            </w:pPr>
            <w:r>
              <w:rPr>
                <w:b/>
              </w:rPr>
              <w:t xml:space="preserve">Snow Goose</w:t>
            </w:r>
          </w:p>
        </w:tc>
        <w:tc>
          <w:tcPr>
            <w:tcW w:w="2400" w:type="dxa"/>
          </w:tcPr>
          <w:p>
            <w:pPr>
              <w:pStyle w:val="TableText"/>
            </w:pPr>
            <w:r>
              <w:t xml:space="preserve">15 February – 25 March</w:t>
            </w:r>
          </w:p>
        </w:tc>
        <w:tc>
          <w:tcPr>
            <w:tcW w:w="2400" w:type="dxa"/>
          </w:tcPr>
          <w:p>
            <w:pPr>
              <w:pStyle w:val="TableText"/>
            </w:pPr>
            <w:r>
              <w:t xml:space="preserve">20 October – 5 December</w:t>
            </w:r>
          </w:p>
        </w:tc>
        <w:tc>
          <w:tcPr>
            <w:tcW w:w="2400" w:type="dxa"/>
          </w:tcPr>
          <w:p>
            <w:pPr>
              <w:pStyle w:val="TableText"/>
            </w:pPr>
            <w:r>
              <w:t xml:space="preserve">Gulf coast and the Mississippi valley</w:t>
            </w:r>
          </w:p>
        </w:tc>
      </w:tr>
      <w:tr>
        <w:tc>
          <w:tcPr>
            <w:tcW w:w="2400" w:type="dxa"/>
          </w:tcPr>
          <w:p>
            <w:pPr>
              <w:pStyle w:val="TableText"/>
            </w:pPr>
            <w:r>
              <w:rPr>
                <w:b/>
              </w:rPr>
              <w:t xml:space="preserve">Blue-winged Teal</w:t>
            </w:r>
          </w:p>
        </w:tc>
        <w:tc>
          <w:tcPr>
            <w:tcW w:w="2400" w:type="dxa"/>
          </w:tcPr>
          <w:p>
            <w:pPr>
              <w:pStyle w:val="TableText"/>
            </w:pPr>
            <w:r>
              <w:t xml:space="preserve">15 March – 5 May</w:t>
            </w:r>
          </w:p>
        </w:tc>
        <w:tc>
          <w:tcPr>
            <w:tcW w:w="2400" w:type="dxa"/>
          </w:tcPr>
          <w:p>
            <w:pPr>
              <w:pStyle w:val="TableText"/>
            </w:pPr>
            <w:r>
              <w:t xml:space="preserve">5 August – 15 October</w:t>
            </w:r>
          </w:p>
        </w:tc>
        <w:tc>
          <w:tcPr>
            <w:tcW w:w="2400" w:type="dxa"/>
          </w:tcPr>
          <w:p>
            <w:pPr>
              <w:pStyle w:val="TableText"/>
            </w:pPr>
            <w:r>
              <w:t xml:space="preserve">the Gulf coast south to Peru</w:t>
            </w:r>
          </w:p>
        </w:tc>
      </w:tr>
      <w:tr>
        <w:tc>
          <w:tcPr>
            <w:tcW w:w="2400" w:type="dxa"/>
          </w:tcPr>
          <w:p>
            <w:pPr>
              <w:pStyle w:val="TableText"/>
            </w:pPr>
            <w:r>
              <w:rPr>
                <w:b/>
              </w:rPr>
              <w:t xml:space="preserve">Northern Pintail</w:t>
            </w:r>
          </w:p>
        </w:tc>
        <w:tc>
          <w:tcPr>
            <w:tcW w:w="2400" w:type="dxa"/>
          </w:tcPr>
          <w:p>
            <w:pPr>
              <w:pStyle w:val="TableText"/>
            </w:pPr>
            <w:r>
              <w:t xml:space="preserve">15 February – 10 April</w:t>
            </w:r>
          </w:p>
        </w:tc>
        <w:tc>
          <w:tcPr>
            <w:tcW w:w="2400" w:type="dxa"/>
          </w:tcPr>
          <w:p>
            <w:pPr>
              <w:pStyle w:val="TableText"/>
            </w:pPr>
            <w:r>
              <w:t xml:space="preserve">10 September – 20 November</w:t>
            </w:r>
          </w:p>
        </w:tc>
        <w:tc>
          <w:tcPr>
            <w:tcW w:w="2400" w:type="dxa"/>
          </w:tcPr>
          <w:p>
            <w:pPr>
              <w:pStyle w:val="TableText"/>
            </w:pPr>
            <w:r>
              <w:t xml:space="preserve">Gulf coast and Mexico</w:t>
            </w:r>
          </w:p>
        </w:tc>
      </w:tr>
      <w:tr>
        <w:tc>
          <w:tcPr>
            <w:tcW w:w="2400" w:type="dxa"/>
          </w:tcPr>
          <w:p>
            <w:pPr>
              <w:pStyle w:val="TableText"/>
            </w:pPr>
            <w:r>
              <w:rPr>
                <w:b/>
              </w:rPr>
              <w:t xml:space="preserve">Northern Shoveler</w:t>
            </w:r>
          </w:p>
        </w:tc>
        <w:tc>
          <w:tcPr>
            <w:tcW w:w="2400" w:type="dxa"/>
          </w:tcPr>
          <w:p>
            <w:pPr>
              <w:pStyle w:val="TableText"/>
            </w:pPr>
            <w:r>
              <w:t xml:space="preserve">1 March – 25 April</w:t>
            </w:r>
          </w:p>
        </w:tc>
        <w:tc>
          <w:tcPr>
            <w:tcW w:w="2400" w:type="dxa"/>
          </w:tcPr>
          <w:p>
            <w:pPr>
              <w:pStyle w:val="TableText"/>
            </w:pPr>
            <w:r>
              <w:t xml:space="preserve">15 September – 25 November</w:t>
            </w:r>
          </w:p>
        </w:tc>
        <w:tc>
          <w:tcPr>
            <w:tcW w:w="2400" w:type="dxa"/>
          </w:tcPr>
          <w:p>
            <w:pPr>
              <w:pStyle w:val="TableText"/>
            </w:pPr>
            <w:r>
              <w:t xml:space="preserve">the Gulf states and Mexico</w:t>
            </w:r>
          </w:p>
        </w:tc>
      </w:tr>
      <w:tr>
        <w:tc>
          <w:tcPr>
            <w:tcW w:w="2400" w:type="dxa"/>
          </w:tcPr>
          <w:p>
            <w:pPr>
              <w:pStyle w:val="TableText"/>
            </w:pPr>
            <w:r>
              <w:rPr>
                <w:b/>
              </w:rPr>
              <w:t xml:space="preserve">Canvasback</w:t>
            </w:r>
          </w:p>
        </w:tc>
        <w:tc>
          <w:tcPr>
            <w:tcW w:w="2400" w:type="dxa"/>
          </w:tcPr>
          <w:p>
            <w:pPr>
              <w:pStyle w:val="TableText"/>
            </w:pPr>
            <w:r>
              <w:t xml:space="preserve">20 February – 1 April</w:t>
            </w:r>
          </w:p>
        </w:tc>
        <w:tc>
          <w:tcPr>
            <w:tcW w:w="2400" w:type="dxa"/>
          </w:tcPr>
          <w:p>
            <w:pPr>
              <w:pStyle w:val="TableText"/>
            </w:pPr>
            <w:r>
              <w:t xml:space="preserve">20 October – 15 December</w:t>
            </w:r>
          </w:p>
        </w:tc>
        <w:tc>
          <w:tcPr>
            <w:tcW w:w="2400" w:type="dxa"/>
          </w:tcPr>
          <w:p>
            <w:pPr>
              <w:pStyle w:val="TableText"/>
            </w:pPr>
            <w:r>
              <w:t xml:space="preserve">the mid-Atlantic and Gulf coasts</w:t>
            </w:r>
          </w:p>
        </w:tc>
      </w:tr>
      <w:tr>
        <w:tc>
          <w:tcPr>
            <w:tcW w:w="2400" w:type="dxa"/>
          </w:tcPr>
          <w:p>
            <w:pPr>
              <w:pStyle w:val="TableText"/>
            </w:pPr>
            <w:r>
              <w:rPr>
                <w:b/>
              </w:rPr>
              <w:t xml:space="preserve">Redhead</w:t>
            </w:r>
          </w:p>
        </w:tc>
        <w:tc>
          <w:tcPr>
            <w:tcW w:w="2400" w:type="dxa"/>
          </w:tcPr>
          <w:p>
            <w:pPr>
              <w:pStyle w:val="TableText"/>
            </w:pPr>
            <w:r>
              <w:t xml:space="preserve">25 February – 5 April</w:t>
            </w:r>
          </w:p>
        </w:tc>
        <w:tc>
          <w:tcPr>
            <w:tcW w:w="2400" w:type="dxa"/>
          </w:tcPr>
          <w:p>
            <w:pPr>
              <w:pStyle w:val="TableText"/>
            </w:pPr>
            <w:r>
              <w:t xml:space="preserve">15 October – 10 December</w:t>
            </w:r>
          </w:p>
        </w:tc>
        <w:tc>
          <w:tcPr>
            <w:tcW w:w="2400" w:type="dxa"/>
          </w:tcPr>
          <w:p>
            <w:pPr>
              <w:pStyle w:val="TableText"/>
            </w:pPr>
            <w:r>
              <w:t xml:space="preserve">the Gulf coast, especially the Laguna Madre</w:t>
            </w:r>
          </w:p>
        </w:tc>
      </w:tr>
      <w:tr>
        <w:tc>
          <w:tcPr>
            <w:tcW w:w="2400" w:type="dxa"/>
          </w:tcPr>
          <w:p>
            <w:pPr>
              <w:pStyle w:val="TableText"/>
            </w:pPr>
            <w:r>
              <w:rPr>
                <w:b/>
              </w:rPr>
              <w:t xml:space="preserve">Red-breasted Merganser</w:t>
            </w:r>
          </w:p>
        </w:tc>
        <w:tc>
          <w:tcPr>
            <w:tcW w:w="2400" w:type="dxa"/>
          </w:tcPr>
          <w:p>
            <w:pPr>
              <w:pStyle w:val="TableText"/>
            </w:pPr>
            <w:r>
              <w:t xml:space="preserve">5 March – 5 May</w:t>
            </w:r>
          </w:p>
        </w:tc>
        <w:tc>
          <w:tcPr>
            <w:tcW w:w="2400" w:type="dxa"/>
          </w:tcPr>
          <w:p>
            <w:pPr>
              <w:pStyle w:val="TableText"/>
            </w:pPr>
            <w:r>
              <w:t xml:space="preserve">25 October – 15 December</w:t>
            </w:r>
          </w:p>
        </w:tc>
        <w:tc>
          <w:tcPr>
            <w:tcW w:w="2400" w:type="dxa"/>
          </w:tcPr>
          <w:p>
            <w:pPr>
              <w:pStyle w:val="TableText"/>
            </w:pPr>
            <w:r>
              <w:t xml:space="preserve">the Atlantic and Gulf coasts</w:t>
            </w:r>
          </w:p>
        </w:tc>
      </w:tr>
      <w:tr>
        <w:tc>
          <w:tcPr>
            <w:tcW w:w="2400" w:type="dxa"/>
          </w:tcPr>
          <w:p>
            <w:pPr>
              <w:pStyle w:val="TableText"/>
            </w:pPr>
            <w:r>
              <w:rPr>
                <w:b/>
              </w:rPr>
              <w:t xml:space="preserve">Common Goldeneye</w:t>
            </w:r>
          </w:p>
        </w:tc>
        <w:tc>
          <w:tcPr>
            <w:tcW w:w="2400" w:type="dxa"/>
          </w:tcPr>
          <w:p>
            <w:pPr>
              <w:pStyle w:val="TableText"/>
            </w:pPr>
            <w:r>
              <w:t xml:space="preserve">10 March – 10 April</w:t>
            </w:r>
          </w:p>
        </w:tc>
        <w:tc>
          <w:tcPr>
            <w:tcW w:w="2400" w:type="dxa"/>
          </w:tcPr>
          <w:p>
            <w:pPr>
              <w:pStyle w:val="TableText"/>
            </w:pPr>
            <w:r>
              <w:t xml:space="preserve">1 November – 10 December</w:t>
            </w:r>
          </w:p>
        </w:tc>
        <w:tc>
          <w:tcPr>
            <w:tcW w:w="2400" w:type="dxa"/>
          </w:tcPr>
          <w:p>
            <w:pPr>
              <w:pStyle w:val="TableText"/>
            </w:pPr>
            <w:r>
              <w:t xml:space="preserve">Lake Erie and the open rivers of Ohio</w:t>
            </w:r>
          </w:p>
        </w:tc>
      </w:tr>
    </w:tbl>
    <w:p/>
    <w:p>
      <w:pPr>
        <w:pStyle w:val="Heading2"/>
      </w:pPr>
      <w:r>
        <w:t xml:space="preserve">Where this sits</w:t>
      </w:r>
    </w:p>
    <w:p>
      <w:r>
        <w:t xml:space="preserve">The full picture is on </w:t>
      </w:r>
      <w:hyperlink r:id="rId129">
        <w:r>
          <w:rPr>
            <w:color w:val="1F4E79"/>
            <w:u w:val="single"/>
          </w:rPr>
          <w:t xml:space="preserve">Ohio bird migration</w:t>
        </w:r>
      </w:hyperlink>
      <w:r>
        <w:t xml:space="preserve">, which carries every group on one chart. Each mark on the breadcrumb strip at the top of the site links to the page for its own group.</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nature/ohio-waterfowl-migration"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 TargetMode="External"/><Relationship Id="rId103" Type="http://schemas.openxmlformats.org/officeDocument/2006/relationships/hyperlink" Target="https://www.agoramores.com/calendar/seasons/seasonal-activities-out-of-town" TargetMode="External"/><Relationship Id="rId104" Type="http://schemas.openxmlformats.org/officeDocument/2006/relationships/hyperlink" Target="https://www.agoramores.com/places/nature/ohio-bird-checklist" TargetMode="External"/><Relationship Id="rId105" Type="http://schemas.openxmlformats.org/officeDocument/2006/relationships/hyperlink" Target="https://www.agoramores.com/places/municipal/columbus-oh" TargetMode="External"/><Relationship Id="rId106" Type="http://schemas.openxmlformats.org/officeDocument/2006/relationships/hyperlink" Target="https://www.agoramores.com/permaculture/fruit/top-ten-nutritionally-dense-fruit-to-grow-in-ohio" TargetMode="External"/><Relationship Id="rId107" Type="http://schemas.openxmlformats.org/officeDocument/2006/relationships/hyperlink" Target="https://www.agoramores.com/food/cuisines/columbus-nepali-and-bhutan-food"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permaculture/livestock/poultry" TargetMode="External"/><Relationship Id="rId112" Type="http://schemas.openxmlformats.org/officeDocument/2006/relationships/hyperlink" Target="https://www.agoramores.com/permaculture/vegetables/peanuts" TargetMode="External"/><Relationship Id="rId113" Type="http://schemas.openxmlformats.org/officeDocument/2006/relationships/hyperlink" Target="https://www.agoramores.com/food/data/cheap-eating" TargetMode="External"/><Relationship Id="rId114" Type="http://schemas.openxmlformats.org/officeDocument/2006/relationships/hyperlink" Target="https://www.agoramores.com/permaculture/fruit/dried-fruit" TargetMode="External"/><Relationship Id="rId115" Type="http://schemas.openxmlformats.org/officeDocument/2006/relationships/hyperlink" Target="https://www.agoramores.com/tags/nature" TargetMode="External"/><Relationship Id="rId116" Type="http://schemas.openxmlformats.org/officeDocument/2006/relationships/hyperlink" Target="https://www.agoramores.com/places/nature" TargetMode="External"/><Relationship Id="rId117" Type="http://schemas.openxmlformats.org/officeDocument/2006/relationships/hyperlink" Target="https://www.agoramores.com/places/nature/ohio-wild-mushroom-seasons" TargetMode="External"/><Relationship Id="rId118" Type="http://schemas.openxmlformats.org/officeDocument/2006/relationships/hyperlink" Target="https://www.agoramores.com/places/nature/ohio-butterflies/acadian-hairstreak" TargetMode="External"/><Relationship Id="rId119" Type="http://schemas.openxmlformats.org/officeDocument/2006/relationships/hyperlink" Target="https://www.agoramores.com/places/nature/ohio-moths/ailanthus-webworm-moth" TargetMode="External"/><Relationship Id="rId120" Type="http://schemas.openxmlformats.org/officeDocument/2006/relationships/hyperlink" Target="https://www.agoramores.com/places/nature/ohio-birds/alder-flycatcher" TargetMode="External"/><Relationship Id="rId121" Type="http://schemas.openxmlformats.org/officeDocument/2006/relationships/hyperlink" Target="https://www.agoramores.com/places/nature/ohio-birds/american-goldfinch" TargetMode="External"/><Relationship Id="rId122" Type="http://schemas.openxmlformats.org/officeDocument/2006/relationships/hyperlink" Target="https://www.agoramores.com/tags/places" TargetMode="External"/><Relationship Id="rId123" Type="http://schemas.openxmlformats.org/officeDocument/2006/relationships/hyperlink" Target="https://www.agoramores.com/places/states/montana" TargetMode="External"/><Relationship Id="rId124" Type="http://schemas.openxmlformats.org/officeDocument/2006/relationships/hyperlink" Target="https://www.agoramores.com/places/countries" TargetMode="External"/><Relationship Id="rId125" Type="http://schemas.openxmlformats.org/officeDocument/2006/relationships/hyperlink" Target="https://www.agoramores.com/places/countries/mexico" TargetMode="External"/><Relationship Id="rId126" Type="http://schemas.openxmlformats.org/officeDocument/2006/relationships/hyperlink" Target="https://www.agoramores.com/places/countries/india" TargetMode="External"/><Relationship Id="rId127" Type="http://schemas.openxmlformats.org/officeDocument/2006/relationships/hyperlink" Target="https://www.agoramores.com/places/tourism" TargetMode="External"/><Relationship Id="rId128" Type="http://schemas.openxmlformats.org/officeDocument/2006/relationships/hyperlink" Target="https://www.agoramores.com/places/states" TargetMode="External"/><Relationship Id="rId129" Type="http://schemas.openxmlformats.org/officeDocument/2006/relationships/hyperlink" Target="https://www.agoramores.com/places/nature/ohio-bird-migratio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waterfowl migration</dc:title>
  <dc:creator>Agoramores</dc:creator>
  <cp:keywords>places, nature, leisure, ohio</cp:keywords>
  <dcterms:created xsi:type="dcterms:W3CDTF">2026-08-22T01:14:13Z</dcterms:created>
</cp:coreProperties>
</file>