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ohio moth migration</w:t>
      </w:r>
    </w:p>
    <w:p>
      <w:pPr>
        <w:pStyle w:val="Subtitle"/>
      </w:pPr>
      <w:hyperlink r:id="rId100">
        <w:r>
          <w:rPr>
            <w:color w:val="1F4E79"/>
            <w:u w:val="single"/>
          </w:rPr>
          <w:t xml:space="preserve">https://www.agoramores.com/places/nature/ohio-moth-migration</w:t>
        </w:r>
      </w:hyperlink>
    </w:p>
    <w:p>
      <w:pPr>
        <w:pStyle w:val="Subtitle"/>
      </w:pPr>
      <w:r>
        <w:t xml:space="preserve">Tags: places · nature · ohio</w:t>
      </w:r>
    </w:p>
    <w:p>
      <w:pPr>
        <w:pBdr>
          <w:bottom w:val="single" w:sz="6" w:space="1" w:color="808080"/>
        </w:pBdr>
      </w:pPr>
    </w:p>
    <w:p>
      <w:pPr>
        <w:pStyle w:val="Heading1"/>
      </w:pPr>
      <w:r>
        <w:t xml:space="preserve">Related</w:t>
      </w:r>
    </w:p>
    <w:p>
      <w:pPr>
        <w:pStyle w:val="Heading2"/>
      </w:pPr>
      <w:hyperlink r:id="rId101">
        <w:r>
          <w:rPr>
            <w:color w:val="1F4E79"/>
            <w:u w:val="single"/>
          </w:rPr>
          <w:t xml:space="preserve">ohio</w:t>
        </w:r>
      </w:hyperlink>
    </w:p>
    <w:p>
      <w:pPr>
        <w:pStyle w:val="ListParagraph"/>
        <w:numPr>
          <w:ilvl w:val="0"/>
          <w:numId w:val="1"/>
        </w:numPr>
      </w:pPr>
      <w:hyperlink r:id="rId102">
        <w:r>
          <w:rPr>
            <w:color w:val="1F4E79"/>
            <w:u w:val="single"/>
          </w:rPr>
          <w:t xml:space="preserve">ohio birds</w:t>
        </w:r>
      </w:hyperlink>
    </w:p>
    <w:p>
      <w:pPr>
        <w:pStyle w:val="ListParagraph"/>
        <w:numPr>
          <w:ilvl w:val="0"/>
          <w:numId w:val="1"/>
        </w:numPr>
      </w:pPr>
      <w:hyperlink r:id="rId103">
        <w:r>
          <w:rPr>
            <w:color w:val="1F4E79"/>
            <w:u w:val="single"/>
          </w:rPr>
          <w:t xml:space="preserve">Seasonal Activities out of Town</w:t>
        </w:r>
      </w:hyperlink>
    </w:p>
    <w:p>
      <w:pPr>
        <w:pStyle w:val="ListParagraph"/>
        <w:numPr>
          <w:ilvl w:val="0"/>
          <w:numId w:val="1"/>
        </w:numPr>
      </w:pPr>
      <w:hyperlink r:id="rId104">
        <w:r>
          <w:rPr>
            <w:color w:val="1F4E79"/>
            <w:u w:val="single"/>
          </w:rPr>
          <w:t xml:space="preserve">Bald Eagle</w:t>
        </w:r>
      </w:hyperlink>
    </w:p>
    <w:p>
      <w:pPr>
        <w:pStyle w:val="ListParagraph"/>
        <w:numPr>
          <w:ilvl w:val="0"/>
          <w:numId w:val="1"/>
        </w:numPr>
      </w:pPr>
      <w:hyperlink r:id="rId105">
        <w:r>
          <w:rPr>
            <w:color w:val="1F4E79"/>
            <w:u w:val="single"/>
          </w:rPr>
          <w:t xml:space="preserve">Black backed Woodpecker</w:t>
        </w:r>
      </w:hyperlink>
    </w:p>
    <w:p>
      <w:pPr>
        <w:pStyle w:val="ListParagraph"/>
        <w:numPr>
          <w:ilvl w:val="0"/>
          <w:numId w:val="1"/>
        </w:numPr>
      </w:pPr>
      <w:hyperlink r:id="rId106">
        <w:r>
          <w:rPr>
            <w:color w:val="1F4E79"/>
            <w:u w:val="single"/>
          </w:rPr>
          <w:t xml:space="preserve">Eastern Tiger Swallowtail</w:t>
        </w:r>
      </w:hyperlink>
    </w:p>
    <w:p>
      <w:pPr>
        <w:pStyle w:val="ListParagraph"/>
        <w:numPr>
          <w:ilvl w:val="0"/>
          <w:numId w:val="1"/>
        </w:numPr>
      </w:pPr>
      <w:hyperlink r:id="rId107">
        <w:r>
          <w:rPr>
            <w:color w:val="1F4E79"/>
            <w:u w:val="single"/>
          </w:rPr>
          <w:t xml:space="preserve">ohio bird checklist</w:t>
        </w:r>
      </w:hyperlink>
    </w:p>
    <w:p>
      <w:pPr>
        <w:pStyle w:val="Heading2"/>
      </w:pPr>
      <w:hyperlink r:id="rId108">
        <w:r>
          <w:rPr>
            <w:color w:val="1F4E79"/>
            <w:u w:val="single"/>
          </w:rPr>
          <w:t xml:space="preserve">nature</w:t>
        </w:r>
      </w:hyperlink>
    </w:p>
    <w:p>
      <w:pPr>
        <w:pStyle w:val="ListParagraph"/>
        <w:numPr>
          <w:ilvl w:val="0"/>
          <w:numId w:val="1"/>
        </w:numPr>
      </w:pPr>
      <w:hyperlink r:id="rId109">
        <w:r>
          <w:rPr>
            <w:color w:val="1F4E79"/>
            <w:u w:val="single"/>
          </w:rPr>
          <w:t xml:space="preserve">nature</w:t>
        </w:r>
      </w:hyperlink>
    </w:p>
    <w:p>
      <w:pPr>
        <w:pStyle w:val="ListParagraph"/>
        <w:numPr>
          <w:ilvl w:val="0"/>
          <w:numId w:val="1"/>
        </w:numPr>
      </w:pPr>
      <w:hyperlink r:id="rId110">
        <w:r>
          <w:rPr>
            <w:color w:val="1F4E79"/>
            <w:u w:val="single"/>
          </w:rPr>
          <w:t xml:space="preserve">ohio dragonfly migration</w:t>
        </w:r>
      </w:hyperlink>
    </w:p>
    <w:p>
      <w:pPr>
        <w:pStyle w:val="ListParagraph"/>
        <w:numPr>
          <w:ilvl w:val="0"/>
          <w:numId w:val="1"/>
        </w:numPr>
      </w:pPr>
      <w:hyperlink r:id="rId111">
        <w:r>
          <w:rPr>
            <w:color w:val="1F4E79"/>
            <w:u w:val="single"/>
          </w:rPr>
          <w:t xml:space="preserve">ohio wild mushroom seasons</w:t>
        </w:r>
      </w:hyperlink>
    </w:p>
    <w:p>
      <w:pPr>
        <w:pStyle w:val="ListParagraph"/>
        <w:numPr>
          <w:ilvl w:val="0"/>
          <w:numId w:val="1"/>
        </w:numPr>
      </w:pPr>
      <w:hyperlink r:id="rId112">
        <w:r>
          <w:rPr>
            <w:color w:val="1F4E79"/>
            <w:u w:val="single"/>
          </w:rPr>
          <w:t xml:space="preserve">Acadian Hairstreak</w:t>
        </w:r>
      </w:hyperlink>
    </w:p>
    <w:p>
      <w:pPr>
        <w:pStyle w:val="ListParagraph"/>
        <w:numPr>
          <w:ilvl w:val="0"/>
          <w:numId w:val="1"/>
        </w:numPr>
      </w:pPr>
      <w:hyperlink r:id="rId113">
        <w:r>
          <w:rPr>
            <w:color w:val="1F4E79"/>
            <w:u w:val="single"/>
          </w:rPr>
          <w:t xml:space="preserve">Ailanthus Webworm Moth</w:t>
        </w:r>
      </w:hyperlink>
    </w:p>
    <w:p>
      <w:pPr>
        <w:pStyle w:val="ListParagraph"/>
        <w:numPr>
          <w:ilvl w:val="0"/>
          <w:numId w:val="1"/>
        </w:numPr>
      </w:pPr>
      <w:hyperlink r:id="rId114">
        <w:r>
          <w:rPr>
            <w:color w:val="1F4E79"/>
            <w:u w:val="single"/>
          </w:rPr>
          <w:t xml:space="preserve">Alder Flycatcher</w:t>
        </w:r>
      </w:hyperlink>
    </w:p>
    <w:p>
      <w:pPr>
        <w:pStyle w:val="Heading2"/>
      </w:pPr>
      <w:hyperlink r:id="rId115">
        <w:r>
          <w:rPr>
            <w:color w:val="1F4E79"/>
            <w:u w:val="single"/>
          </w:rPr>
          <w:t xml:space="preserve">places</w:t>
        </w:r>
      </w:hyperlink>
    </w:p>
    <w:p>
      <w:pPr>
        <w:pStyle w:val="ListParagraph"/>
        <w:numPr>
          <w:ilvl w:val="0"/>
          <w:numId w:val="1"/>
        </w:numPr>
      </w:pPr>
      <w:hyperlink r:id="rId116">
        <w:r>
          <w:rPr>
            <w:color w:val="1F4E79"/>
            <w:u w:val="single"/>
          </w:rPr>
          <w:t xml:space="preserve">Montana</w:t>
        </w:r>
      </w:hyperlink>
    </w:p>
    <w:p>
      <w:pPr>
        <w:pStyle w:val="ListParagraph"/>
        <w:numPr>
          <w:ilvl w:val="0"/>
          <w:numId w:val="1"/>
        </w:numPr>
      </w:pPr>
      <w:hyperlink r:id="rId117">
        <w:r>
          <w:rPr>
            <w:color w:val="1F4E79"/>
            <w:u w:val="single"/>
          </w:rPr>
          <w:t xml:space="preserve">tourism</w:t>
        </w:r>
      </w:hyperlink>
    </w:p>
    <w:p>
      <w:pPr>
        <w:pStyle w:val="ListParagraph"/>
        <w:numPr>
          <w:ilvl w:val="0"/>
          <w:numId w:val="1"/>
        </w:numPr>
      </w:pPr>
      <w:hyperlink r:id="rId118">
        <w:r>
          <w:rPr>
            <w:color w:val="1F4E79"/>
            <w:u w:val="single"/>
          </w:rPr>
          <w:t xml:space="preserve">countries</w:t>
        </w:r>
      </w:hyperlink>
    </w:p>
    <w:p>
      <w:pPr>
        <w:pStyle w:val="ListParagraph"/>
        <w:numPr>
          <w:ilvl w:val="0"/>
          <w:numId w:val="1"/>
        </w:numPr>
      </w:pPr>
      <w:hyperlink r:id="rId119">
        <w:r>
          <w:rPr>
            <w:color w:val="1F4E79"/>
            <w:u w:val="single"/>
          </w:rPr>
          <w:t xml:space="preserve">Mexico</w:t>
        </w:r>
      </w:hyperlink>
    </w:p>
    <w:p>
      <w:pPr>
        <w:pStyle w:val="ListParagraph"/>
        <w:numPr>
          <w:ilvl w:val="0"/>
          <w:numId w:val="1"/>
        </w:numPr>
      </w:pPr>
      <w:hyperlink r:id="rId120">
        <w:r>
          <w:rPr>
            <w:color w:val="1F4E79"/>
            <w:u w:val="single"/>
          </w:rPr>
          <w:t xml:space="preserve">Washington</w:t>
        </w:r>
      </w:hyperlink>
    </w:p>
    <w:p>
      <w:pPr>
        <w:pStyle w:val="ListParagraph"/>
        <w:numPr>
          <w:ilvl w:val="0"/>
          <w:numId w:val="1"/>
        </w:numPr>
      </w:pPr>
      <w:hyperlink r:id="rId121">
        <w:r>
          <w:rPr>
            <w:color w:val="1F4E79"/>
            <w:u w:val="single"/>
          </w:rPr>
          <w:t xml:space="preserve">India</w:t>
        </w:r>
      </w:hyperlink>
    </w:p>
    <w:p>
      <w:pPr>
        <w:pStyle w:val="Heading1"/>
      </w:pPr>
      <w:r>
        <w:t xml:space="preserve">Ohio Moth Migration</w:t>
      </w:r>
    </w:p>
    <w:p>
      <w:r>
        <w:t xml:space="preserve">Almost every moth on this chart is an immigrant that arrived this year and will leave no descendants here — an Ohio winter kills them all. The populations are founded again from the south every spring, carried up on warm southerly airflows ahead of storm fronts, which is why the arrival dates move by weeks between years while a bird's move by days.</w:t>
      </w:r>
    </w:p>
    <w:p>
      <w:pPr>
        <w:pStyle w:val="Heading2"/>
      </w:pPr>
      <w:r>
        <w:t xml:space="preserve">Why the moths left the butterfly chart</w:t>
      </w:r>
    </w:p>
    <w:p>
      <w:r>
        <w:t xml:space="preserve">Split out of the butterfly chart because it answers a different question: not when to go and look at something, but whether this year's influx has landed.</w:t>
      </w:r>
    </w:p>
    <w:p>
      <w:r>
        <w:t xml:space="preserve">Butterflies are a branch inside the moths, so the old "butterflies and moths" chart was never a division of equals. What forced the split was not taxonomy but audience: half the rows below are tracked by agricultural pheromone-trap networks because a spray decision hangs on the date of the first flight.</w:t>
      </w:r>
    </w:p>
    <w:p>
      <w:pPr>
        <w:pStyle w:val="Heading2"/>
      </w:pPr>
      <w:r>
        <w:t xml:space="preserve">The three kinds, which are not the same thing</w:t>
      </w:r>
    </w:p>
    <w:tbl>
      <w:tblPr>
        <w:tblStyle w:val="TableGrid"/>
        <w:tblW w:w="0" w:type="auto"/>
      </w:tblPr>
      <w:tblGrid>
        <w:gridCol w:w="2400"/>
        <w:gridCol w:w="2400"/>
      </w:tblGrid>
      <w:tr>
        <w:trPr>
          <w:tblHeader/>
        </w:trPr>
        <w:tc>
          <w:tcPr>
            <w:tcW w:w="2400" w:type="dxa"/>
          </w:tcPr>
          <w:p>
            <w:pPr>
              <w:pStyle w:val="TableText"/>
            </w:pPr>
            <w:r>
              <w:rPr>
                <w:b/>
              </w:rPr>
              <w:t xml:space="preserve">Kind</w:t>
            </w:r>
          </w:p>
        </w:tc>
        <w:tc>
          <w:tcPr>
            <w:tcW w:w="2400" w:type="dxa"/>
          </w:tcPr>
          <w:p>
            <w:pPr>
              <w:pStyle w:val="TableText"/>
            </w:pPr>
            <w:r>
              <w:rPr>
                <w:b/>
              </w:rPr>
              <w:t xml:space="preserve">What it means</w:t>
            </w:r>
          </w:p>
        </w:tc>
      </w:tr>
      <w:tr>
        <w:tc>
          <w:tcPr>
            <w:tcW w:w="2400" w:type="dxa"/>
          </w:tcPr>
          <w:p>
            <w:pPr>
              <w:pStyle w:val="TableText"/>
            </w:pPr>
            <w:r>
              <w:rPr>
                <w:b/>
              </w:rPr>
              <w:t xml:space="preserve">migrant</w:t>
            </w:r>
          </w:p>
        </w:tc>
        <w:tc>
          <w:tcPr>
            <w:tcW w:w="2400" w:type="dxa"/>
          </w:tcPr>
          <w:p>
            <w:pPr>
              <w:pStyle w:val="TableText"/>
            </w:pPr>
            <w:r>
              <w:t xml:space="preserve">A northward push each spring from a permanent southern range, with a real southward return by a later generation</w:t>
            </w:r>
          </w:p>
        </w:tc>
      </w:tr>
      <w:tr>
        <w:tc>
          <w:tcPr>
            <w:tcW w:w="2400" w:type="dxa"/>
          </w:tcPr>
          <w:p>
            <w:pPr>
              <w:pStyle w:val="TableText"/>
            </w:pPr>
            <w:r>
              <w:rPr>
                <w:b/>
              </w:rPr>
              <w:t xml:space="preserve">pest influx</w:t>
            </w:r>
          </w:p>
        </w:tc>
        <w:tc>
          <w:tcPr>
            <w:tcW w:w="2400" w:type="dxa"/>
          </w:tcPr>
          <w:p>
            <w:pPr>
              <w:pStyle w:val="TableText"/>
            </w:pPr>
            <w:r>
              <w:t xml:space="preserve">The same northward mechanism with an agricultural consequence, and little or no organised return</w:t>
            </w:r>
          </w:p>
        </w:tc>
      </w:tr>
      <w:tr>
        <w:tc>
          <w:tcPr>
            <w:tcW w:w="2400" w:type="dxa"/>
          </w:tcPr>
          <w:p>
            <w:pPr>
              <w:pStyle w:val="TableText"/>
            </w:pPr>
            <w:r>
              <w:rPr>
                <w:b/>
              </w:rPr>
              <w:t xml:space="preserve">stray</w:t>
            </w:r>
          </w:p>
        </w:tc>
        <w:tc>
          <w:tcPr>
            <w:tcW w:w="2400" w:type="dxa"/>
          </w:tcPr>
          <w:p>
            <w:pPr>
              <w:pStyle w:val="TableText"/>
            </w:pPr>
            <w:r>
              <w:t xml:space="preserve">No population movement at all — individuals carried far outside their range, usually by a tropical storm</w:t>
            </w:r>
          </w:p>
        </w:tc>
      </w:tr>
    </w:tbl>
    <w:p/>
    <w:p>
      <w:pPr>
        <w:pStyle w:val="Heading2"/>
      </w:pPr>
      <w:r>
        <w:t xml:space="preserve">The rows on this chart</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Species</w:t>
            </w:r>
          </w:p>
        </w:tc>
        <w:tc>
          <w:tcPr>
            <w:tcW w:w="2400" w:type="dxa"/>
          </w:tcPr>
          <w:p>
            <w:pPr>
              <w:pStyle w:val="TableText"/>
            </w:pPr>
            <w:r>
              <w:rPr>
                <w:b/>
              </w:rPr>
              <w:t xml:space="preserve">Northbound</w:t>
            </w:r>
          </w:p>
        </w:tc>
        <w:tc>
          <w:tcPr>
            <w:tcW w:w="2400" w:type="dxa"/>
          </w:tcPr>
          <w:p>
            <w:pPr>
              <w:pStyle w:val="TableText"/>
            </w:pPr>
            <w:r>
              <w:rPr>
                <w:b/>
              </w:rPr>
              <w:t xml:space="preserve">Southbound</w:t>
            </w:r>
          </w:p>
        </w:tc>
        <w:tc>
          <w:tcPr>
            <w:tcW w:w="2400" w:type="dxa"/>
          </w:tcPr>
          <w:p>
            <w:pPr>
              <w:pStyle w:val="TableText"/>
            </w:pPr>
            <w:r>
              <w:rPr>
                <w:b/>
              </w:rPr>
              <w:t xml:space="preserve">Winters</w:t>
            </w:r>
          </w:p>
        </w:tc>
      </w:tr>
      <w:tr>
        <w:tc>
          <w:tcPr>
            <w:tcW w:w="2400" w:type="dxa"/>
          </w:tcPr>
          <w:p>
            <w:pPr>
              <w:pStyle w:val="TableText"/>
            </w:pPr>
            <w:r>
              <w:rPr>
                <w:b/>
              </w:rPr>
              <w:t xml:space="preserve">Black Cutworm</w:t>
            </w:r>
          </w:p>
        </w:tc>
        <w:tc>
          <w:tcPr>
            <w:tcW w:w="2400" w:type="dxa"/>
          </w:tcPr>
          <w:p>
            <w:pPr>
              <w:pStyle w:val="TableText"/>
            </w:pPr>
            <w:r>
              <w:t xml:space="preserve">20 March – 25 May</w:t>
            </w:r>
          </w:p>
        </w:tc>
        <w:tc>
          <w:tcPr>
            <w:tcW w:w="2400" w:type="dxa"/>
          </w:tcPr>
          <w:p>
            <w:pPr>
              <w:pStyle w:val="TableText"/>
            </w:pPr>
            <w:r>
              <w:t xml:space="preserve">1 September – 25 October</w:t>
            </w:r>
          </w:p>
        </w:tc>
        <w:tc>
          <w:tcPr>
            <w:tcW w:w="2400" w:type="dxa"/>
          </w:tcPr>
          <w:p>
            <w:pPr>
              <w:pStyle w:val="TableText"/>
            </w:pPr>
            <w:r>
              <w:t xml:space="preserve">the Gulf states and Mexico — no overwintering this far north</w:t>
            </w:r>
          </w:p>
        </w:tc>
      </w:tr>
      <w:tr>
        <w:tc>
          <w:tcPr>
            <w:tcW w:w="2400" w:type="dxa"/>
          </w:tcPr>
          <w:p>
            <w:pPr>
              <w:pStyle w:val="TableText"/>
            </w:pPr>
            <w:r>
              <w:rPr>
                <w:b/>
              </w:rPr>
              <w:t xml:space="preserve">True Armyworm</w:t>
            </w:r>
          </w:p>
        </w:tc>
        <w:tc>
          <w:tcPr>
            <w:tcW w:w="2400" w:type="dxa"/>
          </w:tcPr>
          <w:p>
            <w:pPr>
              <w:pStyle w:val="TableText"/>
            </w:pPr>
            <w:r>
              <w:t xml:space="preserve">1 April – 1 June</w:t>
            </w:r>
          </w:p>
        </w:tc>
        <w:tc>
          <w:tcPr>
            <w:tcW w:w="2400" w:type="dxa"/>
          </w:tcPr>
          <w:p>
            <w:pPr>
              <w:pStyle w:val="TableText"/>
            </w:pPr>
            <w:r>
              <w:t xml:space="preserve">25 August – 15 October</w:t>
            </w:r>
          </w:p>
        </w:tc>
        <w:tc>
          <w:tcPr>
            <w:tcW w:w="2400" w:type="dxa"/>
          </w:tcPr>
          <w:p>
            <w:pPr>
              <w:pStyle w:val="TableText"/>
            </w:pPr>
            <w:r>
              <w:t xml:space="preserve">the southern states</w:t>
            </w:r>
          </w:p>
        </w:tc>
      </w:tr>
      <w:tr>
        <w:tc>
          <w:tcPr>
            <w:tcW w:w="2400" w:type="dxa"/>
          </w:tcPr>
          <w:p>
            <w:pPr>
              <w:pStyle w:val="TableText"/>
            </w:pPr>
            <w:r>
              <w:rPr>
                <w:b/>
              </w:rPr>
              <w:t xml:space="preserve">Corn Earworm</w:t>
            </w:r>
          </w:p>
        </w:tc>
        <w:tc>
          <w:tcPr>
            <w:tcW w:w="2400" w:type="dxa"/>
          </w:tcPr>
          <w:p>
            <w:pPr>
              <w:pStyle w:val="TableText"/>
            </w:pPr>
            <w:r>
              <w:t xml:space="preserve">20 May – 15 July</w:t>
            </w:r>
          </w:p>
        </w:tc>
        <w:tc>
          <w:tcPr>
            <w:tcW w:w="2400" w:type="dxa"/>
          </w:tcPr>
          <w:p>
            <w:pPr>
              <w:pStyle w:val="TableText"/>
            </w:pPr>
            <w:r>
              <w:t xml:space="preserve">15 August – 1 October</w:t>
            </w:r>
          </w:p>
        </w:tc>
        <w:tc>
          <w:tcPr>
            <w:tcW w:w="2400" w:type="dxa"/>
          </w:tcPr>
          <w:p>
            <w:pPr>
              <w:pStyle w:val="TableText"/>
            </w:pPr>
            <w:r>
              <w:t xml:space="preserve">south of roughly the 40th parallel — not in Ohio</w:t>
            </w:r>
          </w:p>
        </w:tc>
      </w:tr>
      <w:tr>
        <w:tc>
          <w:tcPr>
            <w:tcW w:w="2400" w:type="dxa"/>
          </w:tcPr>
          <w:p>
            <w:pPr>
              <w:pStyle w:val="TableText"/>
            </w:pPr>
            <w:r>
              <w:rPr>
                <w:b/>
              </w:rPr>
              <w:t xml:space="preserve">Fall Armyworm</w:t>
            </w:r>
          </w:p>
        </w:tc>
        <w:tc>
          <w:tcPr>
            <w:tcW w:w="2400" w:type="dxa"/>
          </w:tcPr>
          <w:p>
            <w:pPr>
              <w:pStyle w:val="TableText"/>
            </w:pPr>
            <w:r>
              <w:t xml:space="preserve">20 June – 10 August</w:t>
            </w:r>
          </w:p>
        </w:tc>
        <w:tc>
          <w:tcPr>
            <w:tcW w:w="2400" w:type="dxa"/>
          </w:tcPr>
          <w:p>
            <w:pPr>
              <w:pStyle w:val="TableText"/>
            </w:pPr>
            <w:r>
              <w:t xml:space="preserve">20 August – 5 October</w:t>
            </w:r>
          </w:p>
        </w:tc>
        <w:tc>
          <w:tcPr>
            <w:tcW w:w="2400" w:type="dxa"/>
          </w:tcPr>
          <w:p>
            <w:pPr>
              <w:pStyle w:val="TableText"/>
            </w:pPr>
            <w:r>
              <w:t xml:space="preserve">south Texas and Florida only</w:t>
            </w:r>
          </w:p>
        </w:tc>
      </w:tr>
      <w:tr>
        <w:tc>
          <w:tcPr>
            <w:tcW w:w="2400" w:type="dxa"/>
          </w:tcPr>
          <w:p>
            <w:pPr>
              <w:pStyle w:val="TableText"/>
            </w:pPr>
            <w:r>
              <w:rPr>
                <w:b/>
              </w:rPr>
              <w:t xml:space="preserve">Cabbage Looper</w:t>
            </w:r>
          </w:p>
        </w:tc>
        <w:tc>
          <w:tcPr>
            <w:tcW w:w="2400" w:type="dxa"/>
          </w:tcPr>
          <w:p>
            <w:pPr>
              <w:pStyle w:val="TableText"/>
            </w:pPr>
            <w:r>
              <w:t xml:space="preserve">25 May – 20 July</w:t>
            </w:r>
          </w:p>
        </w:tc>
        <w:tc>
          <w:tcPr>
            <w:tcW w:w="2400" w:type="dxa"/>
          </w:tcPr>
          <w:p>
            <w:pPr>
              <w:pStyle w:val="TableText"/>
            </w:pPr>
            <w:r>
              <w:t xml:space="preserve">10 August – 10 October</w:t>
            </w:r>
          </w:p>
        </w:tc>
        <w:tc>
          <w:tcPr>
            <w:tcW w:w="2400" w:type="dxa"/>
          </w:tcPr>
          <w:p>
            <w:pPr>
              <w:pStyle w:val="TableText"/>
            </w:pPr>
            <w:r>
              <w:t xml:space="preserve">the southern states and greenhouses</w:t>
            </w:r>
          </w:p>
        </w:tc>
      </w:tr>
      <w:tr>
        <w:tc>
          <w:tcPr>
            <w:tcW w:w="2400" w:type="dxa"/>
          </w:tcPr>
          <w:p>
            <w:pPr>
              <w:pStyle w:val="TableText"/>
            </w:pPr>
            <w:r>
              <w:rPr>
                <w:b/>
              </w:rPr>
              <w:t xml:space="preserve">Soybean Looper</w:t>
            </w:r>
          </w:p>
        </w:tc>
        <w:tc>
          <w:tcPr>
            <w:tcW w:w="2400" w:type="dxa"/>
          </w:tcPr>
          <w:p>
            <w:pPr>
              <w:pStyle w:val="TableText"/>
            </w:pPr>
            <w:r>
              <w:t xml:space="preserve">1 July – 20 August</w:t>
            </w:r>
          </w:p>
        </w:tc>
        <w:tc>
          <w:tcPr>
            <w:tcW w:w="2400" w:type="dxa"/>
          </w:tcPr>
          <w:p>
            <w:pPr>
              <w:pStyle w:val="TableText"/>
            </w:pPr>
            <w:r>
              <w:t xml:space="preserve">20 August – 1 October</w:t>
            </w:r>
          </w:p>
        </w:tc>
        <w:tc>
          <w:tcPr>
            <w:tcW w:w="2400" w:type="dxa"/>
          </w:tcPr>
          <w:p>
            <w:pPr>
              <w:pStyle w:val="TableText"/>
            </w:pPr>
            <w:r>
              <w:t xml:space="preserve">the Gulf coast and Florida</w:t>
            </w:r>
          </w:p>
        </w:tc>
      </w:tr>
      <w:tr>
        <w:tc>
          <w:tcPr>
            <w:tcW w:w="2400" w:type="dxa"/>
          </w:tcPr>
          <w:p>
            <w:pPr>
              <w:pStyle w:val="TableText"/>
            </w:pPr>
            <w:r>
              <w:rPr>
                <w:b/>
              </w:rPr>
              <w:t xml:space="preserve">Beet Armyworm</w:t>
            </w:r>
          </w:p>
        </w:tc>
        <w:tc>
          <w:tcPr>
            <w:tcW w:w="2400" w:type="dxa"/>
          </w:tcPr>
          <w:p>
            <w:pPr>
              <w:pStyle w:val="TableText"/>
            </w:pPr>
            <w:r>
              <w:t xml:space="preserve">25 June – 15 August</w:t>
            </w:r>
          </w:p>
        </w:tc>
        <w:tc>
          <w:tcPr>
            <w:tcW w:w="2400" w:type="dxa"/>
          </w:tcPr>
          <w:p>
            <w:pPr>
              <w:pStyle w:val="TableText"/>
            </w:pPr>
            <w:r>
              <w:t xml:space="preserve">15 August – 30 September</w:t>
            </w:r>
          </w:p>
        </w:tc>
        <w:tc>
          <w:tcPr>
            <w:tcW w:w="2400" w:type="dxa"/>
          </w:tcPr>
          <w:p>
            <w:pPr>
              <w:pStyle w:val="TableText"/>
            </w:pPr>
            <w:r>
              <w:t xml:space="preserve">the deep South</w:t>
            </w:r>
          </w:p>
        </w:tc>
      </w:tr>
      <w:tr>
        <w:tc>
          <w:tcPr>
            <w:tcW w:w="2400" w:type="dxa"/>
          </w:tcPr>
          <w:p>
            <w:pPr>
              <w:pStyle w:val="TableText"/>
            </w:pPr>
            <w:r>
              <w:rPr>
                <w:b/>
              </w:rPr>
              <w:t xml:space="preserve">Diamondback Moth</w:t>
            </w:r>
          </w:p>
        </w:tc>
        <w:tc>
          <w:tcPr>
            <w:tcW w:w="2400" w:type="dxa"/>
          </w:tcPr>
          <w:p>
            <w:pPr>
              <w:pStyle w:val="TableText"/>
            </w:pPr>
            <w:r>
              <w:t xml:space="preserve">25 April – 20 June</w:t>
            </w:r>
          </w:p>
        </w:tc>
        <w:tc>
          <w:tcPr>
            <w:tcW w:w="2400" w:type="dxa"/>
          </w:tcPr>
          <w:p>
            <w:pPr>
              <w:pStyle w:val="TableText"/>
            </w:pPr>
            <w:r>
              <w:t xml:space="preserve">1 August – 1 October</w:t>
            </w:r>
          </w:p>
        </w:tc>
        <w:tc>
          <w:tcPr>
            <w:tcW w:w="2400" w:type="dxa"/>
          </w:tcPr>
          <w:p>
            <w:pPr>
              <w:pStyle w:val="TableText"/>
            </w:pPr>
            <w:r>
              <w:t xml:space="preserve">the southern states — and it is not native to North America at all</w:t>
            </w:r>
          </w:p>
        </w:tc>
      </w:tr>
      <w:tr>
        <w:tc>
          <w:tcPr>
            <w:tcW w:w="2400" w:type="dxa"/>
          </w:tcPr>
          <w:p>
            <w:pPr>
              <w:pStyle w:val="TableText"/>
            </w:pPr>
            <w:r>
              <w:rPr>
                <w:b/>
              </w:rPr>
              <w:t xml:space="preserve">Black Witch</w:t>
            </w:r>
          </w:p>
        </w:tc>
        <w:tc>
          <w:tcPr>
            <w:tcW w:w="2400" w:type="dxa"/>
          </w:tcPr>
          <w:p>
            <w:pPr>
              <w:pStyle w:val="TableText"/>
            </w:pPr>
            <w:r>
              <w:t xml:space="preserve">1 July – 15 August</w:t>
            </w:r>
          </w:p>
        </w:tc>
        <w:tc>
          <w:tcPr>
            <w:tcW w:w="2400" w:type="dxa"/>
          </w:tcPr>
          <w:p>
            <w:pPr>
              <w:pStyle w:val="TableText"/>
            </w:pPr>
            <w:r>
              <w:t xml:space="preserve">15 August – 1 October</w:t>
            </w:r>
          </w:p>
        </w:tc>
        <w:tc>
          <w:tcPr>
            <w:tcW w:w="2400" w:type="dxa"/>
          </w:tcPr>
          <w:p>
            <w:pPr>
              <w:pStyle w:val="TableText"/>
            </w:pPr>
            <w:r>
              <w:t xml:space="preserve">Mexico and the Caribbean</w:t>
            </w:r>
          </w:p>
        </w:tc>
      </w:tr>
    </w:tbl>
    <w:p/>
    <w:p>
      <w:pPr>
        <w:pStyle w:val="Heading2"/>
      </w:pPr>
      <w:r>
        <w:t xml:space="preserve">Where this sits</w:t>
      </w:r>
    </w:p>
    <w:p>
      <w:r>
        <w:t xml:space="preserve">The butterflies are on </w:t>
      </w:r>
      <w:hyperlink r:id="rId122">
        <w:r>
          <w:rPr>
            <w:color w:val="1F4E79"/>
            <w:u w:val="single"/>
          </w:rPr>
          <w:t xml:space="preserve">Ohio butterfly migration</w:t>
        </w:r>
      </w:hyperlink>
      <w:r>
        <w:t xml:space="preserve">, which is the chart these rows used to share.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laces/nature/ohio-moth-migration" TargetMode="External"/><Relationship Id="rId101" Type="http://schemas.openxmlformats.org/officeDocument/2006/relationships/hyperlink" Target="https://www.agoramores.com/tags/ohio" TargetMode="External"/><Relationship Id="rId102" Type="http://schemas.openxmlformats.org/officeDocument/2006/relationships/hyperlink" Target="https://www.agoramores.com/places/nature/ohio-birds" TargetMode="External"/><Relationship Id="rId103" Type="http://schemas.openxmlformats.org/officeDocument/2006/relationships/hyperlink" Target="https://www.agoramores.com/calendar/seasons/seasonal-activities-out-of-town" TargetMode="External"/><Relationship Id="rId104" Type="http://schemas.openxmlformats.org/officeDocument/2006/relationships/hyperlink" Target="https://www.agoramores.com/places/nature/ohio-birds/bald-eagle" TargetMode="External"/><Relationship Id="rId105" Type="http://schemas.openxmlformats.org/officeDocument/2006/relationships/hyperlink" Target="https://www.agoramores.com/places/nature/ohio-birds/black-backed-woodpecker" TargetMode="External"/><Relationship Id="rId106" Type="http://schemas.openxmlformats.org/officeDocument/2006/relationships/hyperlink" Target="https://www.agoramores.com/places/nature/ohio-butterflies/eastern-tiger-swallowtail" TargetMode="External"/><Relationship Id="rId107" Type="http://schemas.openxmlformats.org/officeDocument/2006/relationships/hyperlink" Target="https://www.agoramores.com/places/nature/ohio-bird-checklist" TargetMode="External"/><Relationship Id="rId108" Type="http://schemas.openxmlformats.org/officeDocument/2006/relationships/hyperlink" Target="https://www.agoramores.com/tags/nature" TargetMode="External"/><Relationship Id="rId109" Type="http://schemas.openxmlformats.org/officeDocument/2006/relationships/hyperlink" Target="https://www.agoramores.com/places/nature" TargetMode="External"/><Relationship Id="rId110" Type="http://schemas.openxmlformats.org/officeDocument/2006/relationships/hyperlink" Target="https://www.agoramores.com/places/nature/ohio-dragonfly-migration" TargetMode="External"/><Relationship Id="rId111" Type="http://schemas.openxmlformats.org/officeDocument/2006/relationships/hyperlink" Target="https://www.agoramores.com/places/nature/ohio-wild-mushroom-seasons" TargetMode="External"/><Relationship Id="rId112" Type="http://schemas.openxmlformats.org/officeDocument/2006/relationships/hyperlink" Target="https://www.agoramores.com/places/nature/ohio-butterflies/acadian-hairstreak" TargetMode="External"/><Relationship Id="rId113" Type="http://schemas.openxmlformats.org/officeDocument/2006/relationships/hyperlink" Target="https://www.agoramores.com/places/nature/ohio-moths/ailanthus-webworm-moth" TargetMode="External"/><Relationship Id="rId114" Type="http://schemas.openxmlformats.org/officeDocument/2006/relationships/hyperlink" Target="https://www.agoramores.com/places/nature/ohio-birds/alder-flycatcher" TargetMode="External"/><Relationship Id="rId115" Type="http://schemas.openxmlformats.org/officeDocument/2006/relationships/hyperlink" Target="https://www.agoramores.com/tags/places" TargetMode="External"/><Relationship Id="rId116" Type="http://schemas.openxmlformats.org/officeDocument/2006/relationships/hyperlink" Target="https://www.agoramores.com/places/states/montana" TargetMode="External"/><Relationship Id="rId117" Type="http://schemas.openxmlformats.org/officeDocument/2006/relationships/hyperlink" Target="https://www.agoramores.com/places/tourism" TargetMode="External"/><Relationship Id="rId118" Type="http://schemas.openxmlformats.org/officeDocument/2006/relationships/hyperlink" Target="https://www.agoramores.com/places/countries" TargetMode="External"/><Relationship Id="rId119" Type="http://schemas.openxmlformats.org/officeDocument/2006/relationships/hyperlink" Target="https://www.agoramores.com/places/countries/mexico" TargetMode="External"/><Relationship Id="rId120" Type="http://schemas.openxmlformats.org/officeDocument/2006/relationships/hyperlink" Target="https://www.agoramores.com/places/states/washington" TargetMode="External"/><Relationship Id="rId121" Type="http://schemas.openxmlformats.org/officeDocument/2006/relationships/hyperlink" Target="https://www.agoramores.com/places/countries/india" TargetMode="External"/><Relationship Id="rId122" Type="http://schemas.openxmlformats.org/officeDocument/2006/relationships/hyperlink" Target="https://www.agoramores.com/places/nature/ohio-butterfly-migration"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ohio moth migration</dc:title>
  <dc:creator>Agoramores</dc:creator>
  <cp:keywords>places, nature, ohio</cp:keywords>
  <dcterms:created xsi:type="dcterms:W3CDTF">2026-08-22T05:32:39Z</dcterms:created>
</cp:coreProperties>
</file>