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ohio goldenrod and aster bloom</w:t>
      </w:r>
    </w:p>
    <w:p>
      <w:pPr>
        <w:pStyle w:val="Subtitle"/>
      </w:pPr>
      <w:hyperlink r:id="rId100">
        <w:r>
          <w:rPr>
            <w:color w:val="1F4E79"/>
            <w:u w:val="single"/>
          </w:rPr>
          <w:t xml:space="preserve">https://www.agoramores.com/places/nature/ohio-goldenrod-and-aster-bloom</w:t>
        </w:r>
      </w:hyperlink>
    </w:p>
    <w:p>
      <w:pPr>
        <w:pStyle w:val="Subtitle"/>
      </w:pPr>
      <w:r>
        <w:t xml:space="preserve">Tags: places · nature · ohio</w:t>
      </w:r>
    </w:p>
    <w:p>
      <w:pPr>
        <w:pBdr>
          <w:bottom w:val="single" w:sz="6" w:space="1" w:color="808080"/>
        </w:pBdr>
      </w:pPr>
    </w:p>
    <w:p>
      <w:pPr>
        <w:pStyle w:val="Heading1"/>
      </w:pPr>
      <w:r>
        <w:t xml:space="preserve">Related</w:t>
      </w:r>
    </w:p>
    <w:p>
      <w:pPr>
        <w:pStyle w:val="Heading2"/>
      </w:pPr>
      <w:hyperlink r:id="rId101">
        <w:r>
          <w:rPr>
            <w:color w:val="1F4E79"/>
            <w:u w:val="single"/>
          </w:rPr>
          <w:t xml:space="preserve">ohio</w:t>
        </w:r>
      </w:hyperlink>
    </w:p>
    <w:p>
      <w:pPr>
        <w:pStyle w:val="ListParagraph"/>
        <w:numPr>
          <w:ilvl w:val="0"/>
          <w:numId w:val="1"/>
        </w:numPr>
      </w:pPr>
      <w:hyperlink r:id="rId102">
        <w:r>
          <w:rPr>
            <w:color w:val="1F4E79"/>
            <w:u w:val="single"/>
          </w:rPr>
          <w:t xml:space="preserve">Brown headed Cowbird</w:t>
        </w:r>
      </w:hyperlink>
    </w:p>
    <w:p>
      <w:pPr>
        <w:pStyle w:val="ListParagraph"/>
        <w:numPr>
          <w:ilvl w:val="0"/>
          <w:numId w:val="1"/>
        </w:numPr>
      </w:pPr>
      <w:hyperlink r:id="rId103">
        <w:r>
          <w:rPr>
            <w:color w:val="1F4E79"/>
            <w:u w:val="single"/>
          </w:rPr>
          <w:t xml:space="preserve">Great Black backed Gull</w:t>
        </w:r>
      </w:hyperlink>
    </w:p>
    <w:p>
      <w:pPr>
        <w:pStyle w:val="ListParagraph"/>
        <w:numPr>
          <w:ilvl w:val="0"/>
          <w:numId w:val="1"/>
        </w:numPr>
      </w:pPr>
      <w:hyperlink r:id="rId104">
        <w:r>
          <w:rPr>
            <w:color w:val="1F4E79"/>
            <w:u w:val="single"/>
          </w:rPr>
          <w:t xml:space="preserve">Great Spangled Fritillary</w:t>
        </w:r>
      </w:hyperlink>
    </w:p>
    <w:p>
      <w:pPr>
        <w:pStyle w:val="ListParagraph"/>
        <w:numPr>
          <w:ilvl w:val="0"/>
          <w:numId w:val="1"/>
        </w:numPr>
      </w:pPr>
      <w:hyperlink r:id="rId105">
        <w:r>
          <w:rPr>
            <w:color w:val="1F4E79"/>
            <w:u w:val="single"/>
          </w:rPr>
          <w:t xml:space="preserve">West Virginia White</w:t>
        </w:r>
      </w:hyperlink>
    </w:p>
    <w:p>
      <w:pPr>
        <w:pStyle w:val="ListParagraph"/>
        <w:numPr>
          <w:ilvl w:val="0"/>
          <w:numId w:val="1"/>
        </w:numPr>
      </w:pPr>
      <w:hyperlink r:id="rId106">
        <w:r>
          <w:rPr>
            <w:color w:val="1F4E79"/>
            <w:u w:val="single"/>
          </w:rPr>
          <w:t xml:space="preserve">ohio softshell turtle season</w:t>
        </w:r>
      </w:hyperlink>
    </w:p>
    <w:p>
      <w:pPr>
        <w:pStyle w:val="ListParagraph"/>
        <w:numPr>
          <w:ilvl w:val="0"/>
          <w:numId w:val="1"/>
        </w:numPr>
      </w:pPr>
      <w:hyperlink r:id="rId107">
        <w:r>
          <w:rPr>
            <w:color w:val="1F4E79"/>
            <w:u w:val="single"/>
          </w:rPr>
          <w:t xml:space="preserve">Tracking</w:t>
        </w:r>
      </w:hyperlink>
    </w:p>
    <w:p>
      <w:pPr>
        <w:pStyle w:val="Heading2"/>
      </w:pPr>
      <w:hyperlink r:id="rId108">
        <w:r>
          <w:rPr>
            <w:color w:val="1F4E79"/>
            <w:u w:val="single"/>
          </w:rPr>
          <w:t xml:space="preserve">nature</w:t>
        </w:r>
      </w:hyperlink>
    </w:p>
    <w:p>
      <w:pPr>
        <w:pStyle w:val="ListParagraph"/>
        <w:numPr>
          <w:ilvl w:val="0"/>
          <w:numId w:val="1"/>
        </w:numPr>
      </w:pPr>
      <w:hyperlink r:id="rId109">
        <w:r>
          <w:rPr>
            <w:color w:val="1F4E79"/>
            <w:u w:val="single"/>
          </w:rPr>
          <w:t xml:space="preserve">state parks</w:t>
        </w:r>
      </w:hyperlink>
    </w:p>
    <w:p>
      <w:pPr>
        <w:pStyle w:val="ListParagraph"/>
        <w:numPr>
          <w:ilvl w:val="0"/>
          <w:numId w:val="1"/>
        </w:numPr>
      </w:pPr>
      <w:hyperlink r:id="rId110">
        <w:r>
          <w:rPr>
            <w:color w:val="1F4E79"/>
            <w:u w:val="single"/>
          </w:rPr>
          <w:t xml:space="preserve">American Robin</w:t>
        </w:r>
      </w:hyperlink>
    </w:p>
    <w:p>
      <w:pPr>
        <w:pStyle w:val="ListParagraph"/>
        <w:numPr>
          <w:ilvl w:val="0"/>
          <w:numId w:val="1"/>
        </w:numPr>
      </w:pPr>
      <w:hyperlink r:id="rId111">
        <w:r>
          <w:rPr>
            <w:color w:val="1F4E79"/>
            <w:u w:val="single"/>
          </w:rPr>
          <w:t xml:space="preserve">Atlantis Fritillary</w:t>
        </w:r>
      </w:hyperlink>
    </w:p>
    <w:p>
      <w:pPr>
        <w:pStyle w:val="ListParagraph"/>
        <w:numPr>
          <w:ilvl w:val="0"/>
          <w:numId w:val="1"/>
        </w:numPr>
      </w:pPr>
      <w:hyperlink r:id="rId112">
        <w:r>
          <w:rPr>
            <w:color w:val="1F4E79"/>
            <w:u w:val="single"/>
          </w:rPr>
          <w:t xml:space="preserve">Black throated Green Warbler</w:t>
        </w:r>
      </w:hyperlink>
    </w:p>
    <w:p>
      <w:pPr>
        <w:pStyle w:val="ListParagraph"/>
        <w:numPr>
          <w:ilvl w:val="0"/>
          <w:numId w:val="1"/>
        </w:numPr>
      </w:pPr>
      <w:hyperlink r:id="rId113">
        <w:r>
          <w:rPr>
            <w:color w:val="1F4E79"/>
            <w:u w:val="single"/>
          </w:rPr>
          <w:t xml:space="preserve">Brant (Bird)</w:t>
        </w:r>
      </w:hyperlink>
    </w:p>
    <w:p>
      <w:pPr>
        <w:pStyle w:val="ListParagraph"/>
        <w:numPr>
          <w:ilvl w:val="0"/>
          <w:numId w:val="1"/>
        </w:numPr>
      </w:pPr>
      <w:hyperlink r:id="rId114">
        <w:r>
          <w:rPr>
            <w:color w:val="1F4E79"/>
            <w:u w:val="single"/>
          </w:rPr>
          <w:t xml:space="preserve">Brazilian Skipper</w:t>
        </w:r>
      </w:hyperlink>
    </w:p>
    <w:p>
      <w:pPr>
        <w:pStyle w:val="Heading2"/>
      </w:pPr>
      <w:hyperlink r:id="rId115">
        <w:r>
          <w:rPr>
            <w:color w:val="1F4E79"/>
            <w:u w:val="single"/>
          </w:rPr>
          <w:t xml:space="preserve">places</w:t>
        </w:r>
      </w:hyperlink>
    </w:p>
    <w:p>
      <w:pPr>
        <w:pStyle w:val="ListParagraph"/>
        <w:numPr>
          <w:ilvl w:val="0"/>
          <w:numId w:val="1"/>
        </w:numPr>
      </w:pPr>
      <w:hyperlink r:id="rId116">
        <w:r>
          <w:rPr>
            <w:color w:val="1F4E79"/>
            <w:u w:val="single"/>
          </w:rPr>
          <w:t xml:space="preserve">Yakutat Borough, Alaska</w:t>
        </w:r>
      </w:hyperlink>
    </w:p>
    <w:p>
      <w:pPr>
        <w:pStyle w:val="ListParagraph"/>
        <w:numPr>
          <w:ilvl w:val="0"/>
          <w:numId w:val="1"/>
        </w:numPr>
      </w:pPr>
      <w:hyperlink r:id="rId117">
        <w:r>
          <w:rPr>
            <w:color w:val="1F4E79"/>
            <w:u w:val="single"/>
          </w:rPr>
          <w:t xml:space="preserve">Alaska</w:t>
        </w:r>
      </w:hyperlink>
    </w:p>
    <w:p>
      <w:pPr>
        <w:pStyle w:val="ListParagraph"/>
        <w:numPr>
          <w:ilvl w:val="0"/>
          <w:numId w:val="1"/>
        </w:numPr>
      </w:pPr>
      <w:hyperlink r:id="rId118">
        <w:r>
          <w:rPr>
            <w:color w:val="1F4E79"/>
            <w:u w:val="single"/>
          </w:rPr>
          <w:t xml:space="preserve">New Mexico</w:t>
        </w:r>
      </w:hyperlink>
    </w:p>
    <w:p>
      <w:pPr>
        <w:pStyle w:val="ListParagraph"/>
        <w:numPr>
          <w:ilvl w:val="0"/>
          <w:numId w:val="1"/>
        </w:numPr>
      </w:pPr>
      <w:hyperlink r:id="rId119">
        <w:r>
          <w:rPr>
            <w:color w:val="1F4E79"/>
            <w:u w:val="single"/>
          </w:rPr>
          <w:t xml:space="preserve">Wyoming</w:t>
        </w:r>
      </w:hyperlink>
    </w:p>
    <w:p>
      <w:pPr>
        <w:pStyle w:val="ListParagraph"/>
        <w:numPr>
          <w:ilvl w:val="0"/>
          <w:numId w:val="1"/>
        </w:numPr>
      </w:pPr>
      <w:hyperlink r:id="rId120">
        <w:r>
          <w:rPr>
            <w:color w:val="1F4E79"/>
            <w:u w:val="single"/>
          </w:rPr>
          <w:t xml:space="preserve">France</w:t>
        </w:r>
      </w:hyperlink>
    </w:p>
    <w:p>
      <w:pPr>
        <w:pStyle w:val="ListParagraph"/>
        <w:numPr>
          <w:ilvl w:val="0"/>
          <w:numId w:val="1"/>
        </w:numPr>
      </w:pPr>
      <w:hyperlink r:id="rId121">
        <w:r>
          <w:rPr>
            <w:color w:val="1F4E79"/>
            <w:u w:val="single"/>
          </w:rPr>
          <w:t xml:space="preserve">Connecticut</w:t>
        </w:r>
      </w:hyperlink>
    </w:p>
    <w:p>
      <w:pPr>
        <w:pStyle w:val="Heading1"/>
      </w:pPr>
      <w:r>
        <w:t xml:space="preserve">Ohio Goldenrod and Aster Bloom</w:t>
      </w:r>
    </w:p>
    <w:p>
      <w:r>
        <w:t xml:space="preserve">The last nectar of the year, and the most important. Goldenrods and asters are what fuel the southbound monarch flight and what the bumblebee queens feed on before they overwinter. Goldenrod does not cause hay fever — its pollen is heavy and insect-carried — and ragweed, which does, flowers at exactly the same time.</w:t>
      </w:r>
    </w:p>
    <w:p>
      <w:pPr>
        <w:pStyle w:val="Heading2"/>
      </w:pPr>
      <w:r>
        <w:t xml:space="preserve">Why this group has its own gauge</w:t>
      </w:r>
    </w:p>
    <w:p>
      <w:r>
        <w:t xml:space="preserve">It is the only bloom group still lit in October. The chart above carries 10 species, sliced out of the full 54-row bloom chart.</w:t>
      </w:r>
    </w:p>
    <w:p>
      <w:pPr>
        <w:pStyle w:val="Heading2"/>
      </w:pPr>
      <w:r>
        <w:t xml:space="preserve">The rows on this chart</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Species</w:t>
            </w:r>
          </w:p>
        </w:tc>
        <w:tc>
          <w:tcPr>
            <w:tcW w:w="2400" w:type="dxa"/>
          </w:tcPr>
          <w:p>
            <w:pPr>
              <w:pStyle w:val="TableText"/>
            </w:pPr>
            <w:r>
              <w:rPr>
                <w:b/>
              </w:rPr>
              <w:t xml:space="preserve">In season</w:t>
            </w:r>
          </w:p>
        </w:tc>
        <w:tc>
          <w:tcPr>
            <w:tcW w:w="2400" w:type="dxa"/>
          </w:tcPr>
          <w:p>
            <w:pPr>
              <w:pStyle w:val="TableText"/>
            </w:pPr>
            <w:r>
              <w:rPr>
                <w:b/>
              </w:rPr>
              <w:t xml:space="preserve">Peak</w:t>
            </w:r>
          </w:p>
        </w:tc>
        <w:tc>
          <w:tcPr>
            <w:tcW w:w="2400" w:type="dxa"/>
          </w:tcPr>
          <w:p>
            <w:pPr>
              <w:pStyle w:val="TableText"/>
            </w:pPr>
            <w:r>
              <w:rPr>
                <w:b/>
              </w:rPr>
              <w:t xml:space="preserve">Where</w:t>
            </w:r>
          </w:p>
        </w:tc>
      </w:tr>
      <w:tr>
        <w:tc>
          <w:tcPr>
            <w:tcW w:w="2400" w:type="dxa"/>
          </w:tcPr>
          <w:p>
            <w:pPr>
              <w:pStyle w:val="TableText"/>
            </w:pPr>
            <w:r>
              <w:rPr>
                <w:b/>
              </w:rPr>
              <w:t xml:space="preserve">Joe-Pye Weed</w:t>
            </w:r>
          </w:p>
        </w:tc>
        <w:tc>
          <w:tcPr>
            <w:tcW w:w="2400" w:type="dxa"/>
          </w:tcPr>
          <w:p>
            <w:pPr>
              <w:pStyle w:val="TableText"/>
            </w:pPr>
            <w:r>
              <w:t xml:space="preserve">20 July – 15 September</w:t>
            </w:r>
          </w:p>
        </w:tc>
        <w:tc>
          <w:tcPr>
            <w:tcW w:w="2400" w:type="dxa"/>
          </w:tcPr>
          <w:p>
            <w:pPr>
              <w:pStyle w:val="TableText"/>
            </w:pPr>
            <w:r>
              <w:t xml:space="preserve">15 August</w:t>
            </w:r>
          </w:p>
        </w:tc>
        <w:tc>
          <w:tcPr>
            <w:tcW w:w="2400" w:type="dxa"/>
          </w:tcPr>
          <w:p>
            <w:pPr>
              <w:pStyle w:val="TableText"/>
            </w:pPr>
            <w:r>
              <w:t xml:space="preserve">wet meadows, stream edges and wood borders</w:t>
            </w:r>
          </w:p>
        </w:tc>
      </w:tr>
      <w:tr>
        <w:tc>
          <w:tcPr>
            <w:tcW w:w="2400" w:type="dxa"/>
          </w:tcPr>
          <w:p>
            <w:pPr>
              <w:pStyle w:val="TableText"/>
            </w:pPr>
            <w:r>
              <w:rPr>
                <w:b/>
              </w:rPr>
              <w:t xml:space="preserve">Ironweed</w:t>
            </w:r>
          </w:p>
        </w:tc>
        <w:tc>
          <w:tcPr>
            <w:tcW w:w="2400" w:type="dxa"/>
          </w:tcPr>
          <w:p>
            <w:pPr>
              <w:pStyle w:val="TableText"/>
            </w:pPr>
            <w:r>
              <w:t xml:space="preserve">25 July – 20 September</w:t>
            </w:r>
          </w:p>
        </w:tc>
        <w:tc>
          <w:tcPr>
            <w:tcW w:w="2400" w:type="dxa"/>
          </w:tcPr>
          <w:p>
            <w:pPr>
              <w:pStyle w:val="TableText"/>
            </w:pPr>
            <w:r>
              <w:t xml:space="preserve">20 August</w:t>
            </w:r>
          </w:p>
        </w:tc>
        <w:tc>
          <w:tcPr>
            <w:tcW w:w="2400" w:type="dxa"/>
          </w:tcPr>
          <w:p>
            <w:pPr>
              <w:pStyle w:val="TableText"/>
            </w:pPr>
            <w:r>
              <w:t xml:space="preserve">wet pastures, ditches and field edges</w:t>
            </w:r>
          </w:p>
        </w:tc>
      </w:tr>
      <w:tr>
        <w:tc>
          <w:tcPr>
            <w:tcW w:w="2400" w:type="dxa"/>
          </w:tcPr>
          <w:p>
            <w:pPr>
              <w:pStyle w:val="TableText"/>
            </w:pPr>
            <w:r>
              <w:rPr>
                <w:b/>
              </w:rPr>
              <w:t xml:space="preserve">Boneset</w:t>
            </w:r>
          </w:p>
        </w:tc>
        <w:tc>
          <w:tcPr>
            <w:tcW w:w="2400" w:type="dxa"/>
          </w:tcPr>
          <w:p>
            <w:pPr>
              <w:pStyle w:val="TableText"/>
            </w:pPr>
            <w:r>
              <w:t xml:space="preserve">1 August – 25 September</w:t>
            </w:r>
          </w:p>
        </w:tc>
        <w:tc>
          <w:tcPr>
            <w:tcW w:w="2400" w:type="dxa"/>
          </w:tcPr>
          <w:p>
            <w:pPr>
              <w:pStyle w:val="TableText"/>
            </w:pPr>
            <w:r>
              <w:t xml:space="preserve">25 August</w:t>
            </w:r>
          </w:p>
        </w:tc>
        <w:tc>
          <w:tcPr>
            <w:tcW w:w="2400" w:type="dxa"/>
          </w:tcPr>
          <w:p>
            <w:pPr>
              <w:pStyle w:val="TableText"/>
            </w:pPr>
            <w:r>
              <w:t xml:space="preserve">wet meadows and ditches</w:t>
            </w:r>
          </w:p>
        </w:tc>
      </w:tr>
      <w:tr>
        <w:tc>
          <w:tcPr>
            <w:tcW w:w="2400" w:type="dxa"/>
          </w:tcPr>
          <w:p>
            <w:pPr>
              <w:pStyle w:val="TableText"/>
            </w:pPr>
            <w:r>
              <w:rPr>
                <w:b/>
              </w:rPr>
              <w:t xml:space="preserve">Cardinal Flower</w:t>
            </w:r>
          </w:p>
        </w:tc>
        <w:tc>
          <w:tcPr>
            <w:tcW w:w="2400" w:type="dxa"/>
          </w:tcPr>
          <w:p>
            <w:pPr>
              <w:pStyle w:val="TableText"/>
            </w:pPr>
            <w:r>
              <w:t xml:space="preserve">1 August – 25 September</w:t>
            </w:r>
          </w:p>
        </w:tc>
        <w:tc>
          <w:tcPr>
            <w:tcW w:w="2400" w:type="dxa"/>
          </w:tcPr>
          <w:p>
            <w:pPr>
              <w:pStyle w:val="TableText"/>
            </w:pPr>
            <w:r>
              <w:t xml:space="preserve">28 August</w:t>
            </w:r>
          </w:p>
        </w:tc>
        <w:tc>
          <w:tcPr>
            <w:tcW w:w="2400" w:type="dxa"/>
          </w:tcPr>
          <w:p>
            <w:pPr>
              <w:pStyle w:val="TableText"/>
            </w:pPr>
            <w:r>
              <w:t xml:space="preserve">stream banks, wet ditches and pond edges</w:t>
            </w:r>
          </w:p>
        </w:tc>
      </w:tr>
      <w:tr>
        <w:tc>
          <w:tcPr>
            <w:tcW w:w="2400" w:type="dxa"/>
          </w:tcPr>
          <w:p>
            <w:pPr>
              <w:pStyle w:val="TableText"/>
            </w:pPr>
            <w:r>
              <w:rPr>
                <w:b/>
              </w:rPr>
              <w:t xml:space="preserve">Great Blue Lobelia</w:t>
            </w:r>
          </w:p>
        </w:tc>
        <w:tc>
          <w:tcPr>
            <w:tcW w:w="2400" w:type="dxa"/>
          </w:tcPr>
          <w:p>
            <w:pPr>
              <w:pStyle w:val="TableText"/>
            </w:pPr>
            <w:r>
              <w:t xml:space="preserve">5 August – 1 October</w:t>
            </w:r>
          </w:p>
        </w:tc>
        <w:tc>
          <w:tcPr>
            <w:tcW w:w="2400" w:type="dxa"/>
          </w:tcPr>
          <w:p>
            <w:pPr>
              <w:pStyle w:val="TableText"/>
            </w:pPr>
            <w:r>
              <w:t xml:space="preserve">1 September</w:t>
            </w:r>
          </w:p>
        </w:tc>
        <w:tc>
          <w:tcPr>
            <w:tcW w:w="2400" w:type="dxa"/>
          </w:tcPr>
          <w:p>
            <w:pPr>
              <w:pStyle w:val="TableText"/>
            </w:pPr>
            <w:r>
              <w:t xml:space="preserve">wet ground, seeps and stream edges</w:t>
            </w:r>
          </w:p>
        </w:tc>
      </w:tr>
      <w:tr>
        <w:tc>
          <w:tcPr>
            <w:tcW w:w="2400" w:type="dxa"/>
          </w:tcPr>
          <w:p>
            <w:pPr>
              <w:pStyle w:val="TableText"/>
            </w:pPr>
            <w:r>
              <w:rPr>
                <w:b/>
              </w:rPr>
              <w:t xml:space="preserve">Canada Goldenrod</w:t>
            </w:r>
          </w:p>
        </w:tc>
        <w:tc>
          <w:tcPr>
            <w:tcW w:w="2400" w:type="dxa"/>
          </w:tcPr>
          <w:p>
            <w:pPr>
              <w:pStyle w:val="TableText"/>
            </w:pPr>
            <w:r>
              <w:t xml:space="preserve">5 August – 10 October</w:t>
            </w:r>
          </w:p>
        </w:tc>
        <w:tc>
          <w:tcPr>
            <w:tcW w:w="2400" w:type="dxa"/>
          </w:tcPr>
          <w:p>
            <w:pPr>
              <w:pStyle w:val="TableText"/>
            </w:pPr>
            <w:r>
              <w:t xml:space="preserve">5 September</w:t>
            </w:r>
          </w:p>
        </w:tc>
        <w:tc>
          <w:tcPr>
            <w:tcW w:w="2400" w:type="dxa"/>
          </w:tcPr>
          <w:p>
            <w:pPr>
              <w:pStyle w:val="TableText"/>
            </w:pPr>
            <w:r>
              <w:t xml:space="preserve">old fields, roadsides — the dominant plant of an abandoned Ohio field</w:t>
            </w:r>
          </w:p>
        </w:tc>
      </w:tr>
      <w:tr>
        <w:tc>
          <w:tcPr>
            <w:tcW w:w="2400" w:type="dxa"/>
          </w:tcPr>
          <w:p>
            <w:pPr>
              <w:pStyle w:val="TableText"/>
            </w:pPr>
            <w:r>
              <w:rPr>
                <w:b/>
              </w:rPr>
              <w:t xml:space="preserve">Stiff Goldenrod</w:t>
            </w:r>
          </w:p>
        </w:tc>
        <w:tc>
          <w:tcPr>
            <w:tcW w:w="2400" w:type="dxa"/>
          </w:tcPr>
          <w:p>
            <w:pPr>
              <w:pStyle w:val="TableText"/>
            </w:pPr>
            <w:r>
              <w:t xml:space="preserve">15 August – 5 October</w:t>
            </w:r>
          </w:p>
        </w:tc>
        <w:tc>
          <w:tcPr>
            <w:tcW w:w="2400" w:type="dxa"/>
          </w:tcPr>
          <w:p>
            <w:pPr>
              <w:pStyle w:val="TableText"/>
            </w:pPr>
            <w:r>
              <w:t xml:space="preserve">10 September</w:t>
            </w:r>
          </w:p>
        </w:tc>
        <w:tc>
          <w:tcPr>
            <w:tcW w:w="2400" w:type="dxa"/>
          </w:tcPr>
          <w:p>
            <w:pPr>
              <w:pStyle w:val="TableText"/>
            </w:pPr>
            <w:r>
              <w:t xml:space="preserve">dry prairie remnants and plantings</w:t>
            </w:r>
          </w:p>
        </w:tc>
      </w:tr>
      <w:tr>
        <w:tc>
          <w:tcPr>
            <w:tcW w:w="2400" w:type="dxa"/>
          </w:tcPr>
          <w:p>
            <w:pPr>
              <w:pStyle w:val="TableText"/>
            </w:pPr>
            <w:r>
              <w:rPr>
                <w:b/>
              </w:rPr>
              <w:t xml:space="preserve">New England Aster</w:t>
            </w:r>
          </w:p>
        </w:tc>
        <w:tc>
          <w:tcPr>
            <w:tcW w:w="2400" w:type="dxa"/>
          </w:tcPr>
          <w:p>
            <w:pPr>
              <w:pStyle w:val="TableText"/>
            </w:pPr>
            <w:r>
              <w:t xml:space="preserve">25 August – 25 October</w:t>
            </w:r>
          </w:p>
        </w:tc>
        <w:tc>
          <w:tcPr>
            <w:tcW w:w="2400" w:type="dxa"/>
          </w:tcPr>
          <w:p>
            <w:pPr>
              <w:pStyle w:val="TableText"/>
            </w:pPr>
            <w:r>
              <w:t xml:space="preserve">25 September</w:t>
            </w:r>
          </w:p>
        </w:tc>
        <w:tc>
          <w:tcPr>
            <w:tcW w:w="2400" w:type="dxa"/>
          </w:tcPr>
          <w:p>
            <w:pPr>
              <w:pStyle w:val="TableText"/>
            </w:pPr>
            <w:r>
              <w:t xml:space="preserve">moist meadows, roadsides and plantings</w:t>
            </w:r>
          </w:p>
        </w:tc>
      </w:tr>
      <w:tr>
        <w:tc>
          <w:tcPr>
            <w:tcW w:w="2400" w:type="dxa"/>
          </w:tcPr>
          <w:p>
            <w:pPr>
              <w:pStyle w:val="TableText"/>
            </w:pPr>
            <w:r>
              <w:rPr>
                <w:b/>
              </w:rPr>
              <w:t xml:space="preserve">Aromatic Aster</w:t>
            </w:r>
          </w:p>
        </w:tc>
        <w:tc>
          <w:tcPr>
            <w:tcW w:w="2400" w:type="dxa"/>
          </w:tcPr>
          <w:p>
            <w:pPr>
              <w:pStyle w:val="TableText"/>
            </w:pPr>
            <w:r>
              <w:t xml:space="preserve">5 September – 5 November</w:t>
            </w:r>
          </w:p>
        </w:tc>
        <w:tc>
          <w:tcPr>
            <w:tcW w:w="2400" w:type="dxa"/>
          </w:tcPr>
          <w:p>
            <w:pPr>
              <w:pStyle w:val="TableText"/>
            </w:pPr>
            <w:r>
              <w:t xml:space="preserve">5 October</w:t>
            </w:r>
          </w:p>
        </w:tc>
        <w:tc>
          <w:tcPr>
            <w:tcW w:w="2400" w:type="dxa"/>
          </w:tcPr>
          <w:p>
            <w:pPr>
              <w:pStyle w:val="TableText"/>
            </w:pPr>
            <w:r>
              <w:t xml:space="preserve">dry banks, limestone ground and plantings</w:t>
            </w:r>
          </w:p>
        </w:tc>
      </w:tr>
      <w:tr>
        <w:tc>
          <w:tcPr>
            <w:tcW w:w="2400" w:type="dxa"/>
          </w:tcPr>
          <w:p>
            <w:pPr>
              <w:pStyle w:val="TableText"/>
            </w:pPr>
            <w:r>
              <w:rPr>
                <w:b/>
              </w:rPr>
              <w:t xml:space="preserve">Common Ragweed</w:t>
            </w:r>
          </w:p>
        </w:tc>
        <w:tc>
          <w:tcPr>
            <w:tcW w:w="2400" w:type="dxa"/>
          </w:tcPr>
          <w:p>
            <w:pPr>
              <w:pStyle w:val="TableText"/>
            </w:pPr>
            <w:r>
              <w:t xml:space="preserve">5 August – 5 October</w:t>
            </w:r>
          </w:p>
        </w:tc>
        <w:tc>
          <w:tcPr>
            <w:tcW w:w="2400" w:type="dxa"/>
          </w:tcPr>
          <w:p>
            <w:pPr>
              <w:pStyle w:val="TableText"/>
            </w:pPr>
            <w:r>
              <w:t xml:space="preserve">1 September</w:t>
            </w:r>
          </w:p>
        </w:tc>
        <w:tc>
          <w:tcPr>
            <w:tcW w:w="2400" w:type="dxa"/>
          </w:tcPr>
          <w:p>
            <w:pPr>
              <w:pStyle w:val="TableText"/>
            </w:pPr>
            <w:r>
              <w:t xml:space="preserve">disturbed ground, field margins, construction lots</w:t>
            </w:r>
          </w:p>
        </w:tc>
      </w:tr>
    </w:tbl>
    <w:p/>
    <w:p>
      <w:pPr>
        <w:pStyle w:val="Heading2"/>
      </w:pPr>
      <w:r>
        <w:t xml:space="preserve">Where this sits</w:t>
      </w:r>
    </w:p>
    <w:p>
      <w:r>
        <w:t xml:space="preserve">The full picture is on </w:t>
      </w:r>
      <w:hyperlink r:id="rId122">
        <w:r>
          <w:rPr>
            <w:color w:val="1F4E79"/>
            <w:u w:val="single"/>
          </w:rPr>
          <w:t xml:space="preserve">Ohio flower bloom times</w:t>
        </w:r>
      </w:hyperlink>
      <w:r>
        <w:t xml:space="preserve">, which carries every group on one chart. Each mark on the breadcrumb strip at the top of the site links to the page for its own group.</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places/nature/ohio-goldenrod-and-aster-bloom" TargetMode="External"/><Relationship Id="rId101" Type="http://schemas.openxmlformats.org/officeDocument/2006/relationships/hyperlink" Target="https://www.agoramores.com/tags/ohio" TargetMode="External"/><Relationship Id="rId102" Type="http://schemas.openxmlformats.org/officeDocument/2006/relationships/hyperlink" Target="https://www.agoramores.com/places/nature/ohio-birds/brown-headed-cowbird" TargetMode="External"/><Relationship Id="rId103" Type="http://schemas.openxmlformats.org/officeDocument/2006/relationships/hyperlink" Target="https://www.agoramores.com/places/nature/ohio-birds/great-black-backed-gull" TargetMode="External"/><Relationship Id="rId104" Type="http://schemas.openxmlformats.org/officeDocument/2006/relationships/hyperlink" Target="https://www.agoramores.com/places/nature/ohio-butterflies/great-spangled-fritillary" TargetMode="External"/><Relationship Id="rId105" Type="http://schemas.openxmlformats.org/officeDocument/2006/relationships/hyperlink" Target="https://www.agoramores.com/places/nature/ohio-butterflies/west-virginia-white" TargetMode="External"/><Relationship Id="rId106" Type="http://schemas.openxmlformats.org/officeDocument/2006/relationships/hyperlink" Target="https://www.agoramores.com/places/nature/ohio-softshell-turtle-season" TargetMode="External"/><Relationship Id="rId107" Type="http://schemas.openxmlformats.org/officeDocument/2006/relationships/hyperlink" Target="https://www.agoramores.com/tracking" TargetMode="External"/><Relationship Id="rId108" Type="http://schemas.openxmlformats.org/officeDocument/2006/relationships/hyperlink" Target="https://www.agoramores.com/tags/nature" TargetMode="External"/><Relationship Id="rId109" Type="http://schemas.openxmlformats.org/officeDocument/2006/relationships/hyperlink" Target="https://www.agoramores.com/places/nature/state-parks" TargetMode="External"/><Relationship Id="rId110" Type="http://schemas.openxmlformats.org/officeDocument/2006/relationships/hyperlink" Target="https://www.agoramores.com/places/nature/ohio-birds/american-robin" TargetMode="External"/><Relationship Id="rId111" Type="http://schemas.openxmlformats.org/officeDocument/2006/relationships/hyperlink" Target="https://www.agoramores.com/places/nature/ohio-butterflies/atlantis-fritillary" TargetMode="External"/><Relationship Id="rId112" Type="http://schemas.openxmlformats.org/officeDocument/2006/relationships/hyperlink" Target="https://www.agoramores.com/places/nature/ohio-birds/black-throated-green-warbler" TargetMode="External"/><Relationship Id="rId113" Type="http://schemas.openxmlformats.org/officeDocument/2006/relationships/hyperlink" Target="https://www.agoramores.com/places/nature/ohio-birds/brant-bird" TargetMode="External"/><Relationship Id="rId114" Type="http://schemas.openxmlformats.org/officeDocument/2006/relationships/hyperlink" Target="https://www.agoramores.com/places/nature/ohio-butterflies/brazilian-skipper" TargetMode="External"/><Relationship Id="rId115" Type="http://schemas.openxmlformats.org/officeDocument/2006/relationships/hyperlink" Target="https://www.agoramores.com/tags/places" TargetMode="External"/><Relationship Id="rId116" Type="http://schemas.openxmlformats.org/officeDocument/2006/relationships/hyperlink" Target="https://www.agoramores.com/places/counties/yakutat-borough-alaska" TargetMode="External"/><Relationship Id="rId117" Type="http://schemas.openxmlformats.org/officeDocument/2006/relationships/hyperlink" Target="https://www.agoramores.com/places/states/alaska" TargetMode="External"/><Relationship Id="rId118" Type="http://schemas.openxmlformats.org/officeDocument/2006/relationships/hyperlink" Target="https://www.agoramores.com/places/states/new-mexico" TargetMode="External"/><Relationship Id="rId119" Type="http://schemas.openxmlformats.org/officeDocument/2006/relationships/hyperlink" Target="https://www.agoramores.com/places/states/wyoming" TargetMode="External"/><Relationship Id="rId120" Type="http://schemas.openxmlformats.org/officeDocument/2006/relationships/hyperlink" Target="https://www.agoramores.com/places/countries/france" TargetMode="External"/><Relationship Id="rId121" Type="http://schemas.openxmlformats.org/officeDocument/2006/relationships/hyperlink" Target="https://www.agoramores.com/places/states/connecticut" TargetMode="External"/><Relationship Id="rId122" Type="http://schemas.openxmlformats.org/officeDocument/2006/relationships/hyperlink" Target="https://www.agoramores.com/places/nature/ohio-flower-bloom-time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ohio goldenrod and aster bloom</dc:title>
  <dc:creator>Agoramores</dc:creator>
  <cp:keywords>places, nature, ohio</cp:keywords>
  <dcterms:created xsi:type="dcterms:W3CDTF">2026-08-23T04:58:51Z</dcterms:created>
</cp:coreProperties>
</file>