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dragonfly migration</w:t>
      </w:r>
    </w:p>
    <w:p>
      <w:pPr>
        <w:pStyle w:val="Subtitle"/>
      </w:pPr>
      <w:hyperlink r:id="rId100">
        <w:r>
          <w:rPr>
            <w:color w:val="1F4E79"/>
            <w:u w:val="single"/>
          </w:rPr>
          <w:t xml:space="preserve">https://www.agoramores.com/places/nature/ohio-dragonfly-migration</w:t>
        </w:r>
      </w:hyperlink>
    </w:p>
    <w:p>
      <w:pPr>
        <w:pStyle w:val="Subtitle"/>
      </w:pPr>
      <w:r>
        <w:t xml:space="preserve">Tags: places · nature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Brown headed Cowbird</w:t>
        </w:r>
      </w:hyperlink>
    </w:p>
    <w:p>
      <w:pPr>
        <w:pStyle w:val="ListParagraph"/>
        <w:numPr>
          <w:ilvl w:val="0"/>
          <w:numId w:val="1"/>
        </w:numPr>
      </w:pPr>
      <w:hyperlink r:id="rId103">
        <w:r>
          <w:rPr>
            <w:color w:val="1F4E79"/>
            <w:u w:val="single"/>
          </w:rPr>
          <w:t xml:space="preserve">Great Black backed Gull</w:t>
        </w:r>
      </w:hyperlink>
    </w:p>
    <w:p>
      <w:pPr>
        <w:pStyle w:val="ListParagraph"/>
        <w:numPr>
          <w:ilvl w:val="0"/>
          <w:numId w:val="1"/>
        </w:numPr>
      </w:pPr>
      <w:hyperlink r:id="rId104">
        <w:r>
          <w:rPr>
            <w:color w:val="1F4E79"/>
            <w:u w:val="single"/>
          </w:rPr>
          <w:t xml:space="preserve">Great Spangled Fritillary</w:t>
        </w:r>
      </w:hyperlink>
    </w:p>
    <w:p>
      <w:pPr>
        <w:pStyle w:val="ListParagraph"/>
        <w:numPr>
          <w:ilvl w:val="0"/>
          <w:numId w:val="1"/>
        </w:numPr>
      </w:pPr>
      <w:hyperlink r:id="rId105">
        <w:r>
          <w:rPr>
            <w:color w:val="1F4E79"/>
            <w:u w:val="single"/>
          </w:rPr>
          <w:t xml:space="preserve">West Virginia White</w:t>
        </w:r>
      </w:hyperlink>
    </w:p>
    <w:p>
      <w:pPr>
        <w:pStyle w:val="ListParagraph"/>
        <w:numPr>
          <w:ilvl w:val="0"/>
          <w:numId w:val="1"/>
        </w:numPr>
      </w:pPr>
      <w:hyperlink r:id="rId106">
        <w:r>
          <w:rPr>
            <w:color w:val="1F4E79"/>
            <w:u w:val="single"/>
          </w:rPr>
          <w:t xml:space="preserve">ohio softshell turtle season</w:t>
        </w:r>
      </w:hyperlink>
    </w:p>
    <w:p>
      <w:pPr>
        <w:pStyle w:val="ListParagraph"/>
        <w:numPr>
          <w:ilvl w:val="0"/>
          <w:numId w:val="1"/>
        </w:numPr>
      </w:pPr>
      <w:hyperlink r:id="rId107">
        <w:r>
          <w:rPr>
            <w:color w:val="1F4E79"/>
            <w:u w:val="single"/>
          </w:rPr>
          <w:t xml:space="preserve">Tracking</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Perennial Tubers</w:t>
        </w:r>
      </w:hyperlink>
    </w:p>
    <w:p>
      <w:pPr>
        <w:pStyle w:val="ListParagraph"/>
        <w:numPr>
          <w:ilvl w:val="0"/>
          <w:numId w:val="1"/>
        </w:numPr>
      </w:pPr>
      <w:hyperlink r:id="rId110">
        <w:r>
          <w:rPr>
            <w:color w:val="1F4E79"/>
            <w:u w:val="single"/>
          </w:rPr>
          <w:t xml:space="preserve">Nutmeg</w:t>
        </w:r>
      </w:hyperlink>
    </w:p>
    <w:p>
      <w:pPr>
        <w:pStyle w:val="ListParagraph"/>
        <w:numPr>
          <w:ilvl w:val="0"/>
          <w:numId w:val="1"/>
        </w:numPr>
      </w:pPr>
      <w:hyperlink r:id="rId111">
        <w:r>
          <w:rPr>
            <w:color w:val="1F4E79"/>
            <w:u w:val="single"/>
          </w:rPr>
          <w:t xml:space="preserve">Sunflower Seeds</w:t>
        </w:r>
      </w:hyperlink>
    </w:p>
    <w:p>
      <w:pPr>
        <w:pStyle w:val="ListParagraph"/>
        <w:numPr>
          <w:ilvl w:val="0"/>
          <w:numId w:val="1"/>
        </w:numPr>
      </w:pPr>
      <w:hyperlink r:id="rId112">
        <w:r>
          <w:rPr>
            <w:color w:val="1F4E79"/>
            <w:u w:val="single"/>
          </w:rPr>
          <w:t xml:space="preserve">Bee Keeping</w:t>
        </w:r>
      </w:hyperlink>
    </w:p>
    <w:p>
      <w:pPr>
        <w:pStyle w:val="ListParagraph"/>
        <w:numPr>
          <w:ilvl w:val="0"/>
          <w:numId w:val="1"/>
        </w:numPr>
      </w:pPr>
      <w:hyperlink r:id="rId113">
        <w:r>
          <w:rPr>
            <w:color w:val="1F4E79"/>
            <w:u w:val="single"/>
          </w:rPr>
          <w:t xml:space="preserve">Drying Peppers</w:t>
        </w:r>
      </w:hyperlink>
    </w:p>
    <w:p>
      <w:pPr>
        <w:pStyle w:val="ListParagraph"/>
        <w:numPr>
          <w:ilvl w:val="0"/>
          <w:numId w:val="1"/>
        </w:numPr>
      </w:pPr>
      <w:hyperlink r:id="rId114">
        <w:r>
          <w:rPr>
            <w:color w:val="1F4E79"/>
            <w:u w:val="single"/>
          </w:rPr>
          <w:t xml:space="preserve">Annual Tea</w:t>
        </w:r>
      </w:hyperlink>
    </w:p>
    <w:p>
      <w:pPr>
        <w:pStyle w:val="Heading2"/>
      </w:pPr>
      <w:hyperlink r:id="rId115">
        <w:r>
          <w:rPr>
            <w:color w:val="1F4E79"/>
            <w:u w:val="single"/>
          </w:rPr>
          <w:t xml:space="preserve">nature</w:t>
        </w:r>
      </w:hyperlink>
    </w:p>
    <w:p>
      <w:pPr>
        <w:pStyle w:val="ListParagraph"/>
        <w:numPr>
          <w:ilvl w:val="0"/>
          <w:numId w:val="1"/>
        </w:numPr>
      </w:pPr>
      <w:hyperlink r:id="rId116">
        <w:r>
          <w:rPr>
            <w:color w:val="1F4E79"/>
            <w:u w:val="single"/>
          </w:rPr>
          <w:t xml:space="preserve">state parks</w:t>
        </w:r>
      </w:hyperlink>
    </w:p>
    <w:p>
      <w:pPr>
        <w:pStyle w:val="ListParagraph"/>
        <w:numPr>
          <w:ilvl w:val="0"/>
          <w:numId w:val="1"/>
        </w:numPr>
      </w:pPr>
      <w:hyperlink r:id="rId117">
        <w:r>
          <w:rPr>
            <w:color w:val="1F4E79"/>
            <w:u w:val="single"/>
          </w:rPr>
          <w:t xml:space="preserve">American Robin</w:t>
        </w:r>
      </w:hyperlink>
    </w:p>
    <w:p>
      <w:pPr>
        <w:pStyle w:val="ListParagraph"/>
        <w:numPr>
          <w:ilvl w:val="0"/>
          <w:numId w:val="1"/>
        </w:numPr>
      </w:pPr>
      <w:hyperlink r:id="rId118">
        <w:r>
          <w:rPr>
            <w:color w:val="1F4E79"/>
            <w:u w:val="single"/>
          </w:rPr>
          <w:t xml:space="preserve">Atlantis Fritillary</w:t>
        </w:r>
      </w:hyperlink>
    </w:p>
    <w:p>
      <w:pPr>
        <w:pStyle w:val="ListParagraph"/>
        <w:numPr>
          <w:ilvl w:val="0"/>
          <w:numId w:val="1"/>
        </w:numPr>
      </w:pPr>
      <w:hyperlink r:id="rId119">
        <w:r>
          <w:rPr>
            <w:color w:val="1F4E79"/>
            <w:u w:val="single"/>
          </w:rPr>
          <w:t xml:space="preserve">Black throated Green Warbler</w:t>
        </w:r>
      </w:hyperlink>
    </w:p>
    <w:p>
      <w:pPr>
        <w:pStyle w:val="ListParagraph"/>
        <w:numPr>
          <w:ilvl w:val="0"/>
          <w:numId w:val="1"/>
        </w:numPr>
      </w:pPr>
      <w:hyperlink r:id="rId120">
        <w:r>
          <w:rPr>
            <w:color w:val="1F4E79"/>
            <w:u w:val="single"/>
          </w:rPr>
          <w:t xml:space="preserve">Brant (Bird)</w:t>
        </w:r>
      </w:hyperlink>
    </w:p>
    <w:p>
      <w:pPr>
        <w:pStyle w:val="ListParagraph"/>
        <w:numPr>
          <w:ilvl w:val="0"/>
          <w:numId w:val="1"/>
        </w:numPr>
      </w:pPr>
      <w:hyperlink r:id="rId121">
        <w:r>
          <w:rPr>
            <w:color w:val="1F4E79"/>
            <w:u w:val="single"/>
          </w:rPr>
          <w:t xml:space="preserve">Brazilian Skipper</w:t>
        </w:r>
      </w:hyperlink>
    </w:p>
    <w:p>
      <w:pPr>
        <w:pStyle w:val="Heading2"/>
      </w:pPr>
      <w:hyperlink r:id="rId122">
        <w:r>
          <w:rPr>
            <w:color w:val="1F4E79"/>
            <w:u w:val="single"/>
          </w:rPr>
          <w:t xml:space="preserve">places</w:t>
        </w:r>
      </w:hyperlink>
    </w:p>
    <w:p>
      <w:pPr>
        <w:pStyle w:val="ListParagraph"/>
        <w:numPr>
          <w:ilvl w:val="0"/>
          <w:numId w:val="1"/>
        </w:numPr>
      </w:pPr>
      <w:hyperlink r:id="rId123">
        <w:r>
          <w:rPr>
            <w:color w:val="1F4E79"/>
            <w:u w:val="single"/>
          </w:rPr>
          <w:t xml:space="preserve">Yakutat Borough, Alaska</w:t>
        </w:r>
      </w:hyperlink>
    </w:p>
    <w:p>
      <w:pPr>
        <w:pStyle w:val="ListParagraph"/>
        <w:numPr>
          <w:ilvl w:val="0"/>
          <w:numId w:val="1"/>
        </w:numPr>
      </w:pPr>
      <w:hyperlink r:id="rId124">
        <w:r>
          <w:rPr>
            <w:color w:val="1F4E79"/>
            <w:u w:val="single"/>
          </w:rPr>
          <w:t xml:space="preserve">Alaska</w:t>
        </w:r>
      </w:hyperlink>
    </w:p>
    <w:p>
      <w:pPr>
        <w:pStyle w:val="ListParagraph"/>
        <w:numPr>
          <w:ilvl w:val="0"/>
          <w:numId w:val="1"/>
        </w:numPr>
      </w:pPr>
      <w:hyperlink r:id="rId125">
        <w:r>
          <w:rPr>
            <w:color w:val="1F4E79"/>
            <w:u w:val="single"/>
          </w:rPr>
          <w:t xml:space="preserve">New Mexico</w:t>
        </w:r>
      </w:hyperlink>
    </w:p>
    <w:p>
      <w:pPr>
        <w:pStyle w:val="ListParagraph"/>
        <w:numPr>
          <w:ilvl w:val="0"/>
          <w:numId w:val="1"/>
        </w:numPr>
      </w:pPr>
      <w:hyperlink r:id="rId126">
        <w:r>
          <w:rPr>
            <w:color w:val="1F4E79"/>
            <w:u w:val="single"/>
          </w:rPr>
          <w:t xml:space="preserve">Wyoming</w:t>
        </w:r>
      </w:hyperlink>
    </w:p>
    <w:p>
      <w:pPr>
        <w:pStyle w:val="ListParagraph"/>
        <w:numPr>
          <w:ilvl w:val="0"/>
          <w:numId w:val="1"/>
        </w:numPr>
      </w:pPr>
      <w:hyperlink r:id="rId127">
        <w:r>
          <w:rPr>
            <w:color w:val="1F4E79"/>
            <w:u w:val="single"/>
          </w:rPr>
          <w:t xml:space="preserve">France</w:t>
        </w:r>
      </w:hyperlink>
    </w:p>
    <w:p>
      <w:pPr>
        <w:pStyle w:val="ListParagraph"/>
        <w:numPr>
          <w:ilvl w:val="0"/>
          <w:numId w:val="1"/>
        </w:numPr>
      </w:pPr>
      <w:hyperlink r:id="rId128">
        <w:r>
          <w:rPr>
            <w:color w:val="1F4E79"/>
            <w:u w:val="single"/>
          </w:rPr>
          <w:t xml:space="preserve">Connecticut</w:t>
        </w:r>
      </w:hyperlink>
    </w:p>
    <w:p>
      <w:pPr>
        <w:pStyle w:val="Heading1"/>
      </w:pPr>
      <w:r>
        <w:t xml:space="preserve">Ohio Dragonfly Migration</w:t>
      </w:r>
    </w:p>
    <w:p>
      <w:r>
        <w:t xml:space="preserve">This is the one people do not know happens, and it is the best-evidenced
invertebrate migration on the continent. Dragonflies move south over Ohio in
their thousands every September, along the same shoreline and behind the same
cold fronts as the songbirds, and a good morning at the lakeshore in early
September is often both at once.</w:t>
      </w:r>
    </w:p>
    <w:p>
      <w:r>
        <w:t xml:space="preserve">The chart above carries seven species: the green darner that runs the whole
system, two gliders, two saddlebags, and two skimmers that are on it for
contrast.</w:t>
      </w:r>
    </w:p>
    <w:p>
      <w:pPr>
        <w:pStyle w:val="Heading2"/>
      </w:pPr>
      <w:r>
        <w:t xml:space="preserve">How to read the chart</w:t>
      </w:r>
    </w:p>
    <w:p>
      <w:r>
        <w:t xml:space="preserve">Each row is a species; each bar is a window when it is on the move through Ohio.
The vertical line is today, colour carries direction — northbound in spring,
southbound in autumn — and an arrow marks a species that winters off the bottom
of the map. Hover a name for where it breeds and where it goes. The chart
scrolls sideways on a narrow screen.</w:t>
      </w:r>
    </w:p>
    <w:p>
      <w:pPr>
        <w:pStyle w:val="Heading2"/>
      </w:pPr>
      <w:r>
        <w:t xml:space="preserve">Three generations, and none of them makes the round trip</w:t>
      </w:r>
    </w:p>
    <w:p>
      <w:r>
        <w:t xml:space="preserve">The common green darner's migration is not an inference from sightings. It was
settled with stable hydrogen isotopes in the wings of museum and field
specimens, which record the water an individual grew up in. Hallworth and
colleagues, publishing in </w:t>
      </w:r>
      <w:r>
        <w:rPr>
          <w:i/>
        </w:rPr>
        <w:t xml:space="preserve">Biology Letters</w:t>
      </w:r>
      <w:r>
        <w:t xml:space="preserve"> in 2018, read 852 wings from eight
countries spanning 1874 to 2013, cross-checked against 21 years of public
first-flight observations, and found a three-generation annual cycle:</w:t>
      </w:r>
    </w:p>
    <w:tbl>
      <w:tblPr>
        <w:tblStyle w:val="TableGrid"/>
        <w:tblW w:w="0" w:type="auto"/>
      </w:tblPr>
      <w:tblGrid>
        <w:gridCol w:w="2400"/>
        <w:gridCol w:w="2400"/>
        <w:gridCol w:w="2400"/>
      </w:tblGrid>
      <w:tr>
        <w:trPr>
          <w:tblHeader/>
        </w:trPr>
        <w:tc>
          <w:tcPr>
            <w:tcW w:w="2400" w:type="dxa"/>
          </w:tcPr>
          <w:p>
            <w:pPr>
              <w:pStyle w:val="TableText"/>
            </w:pPr>
            <w:r>
              <w:rPr>
                <w:b/>
              </w:rPr>
              <w:t xml:space="preserve">Generation</w:t>
            </w:r>
          </w:p>
        </w:tc>
        <w:tc>
          <w:tcPr>
            <w:tcW w:w="2400" w:type="dxa"/>
          </w:tcPr>
          <w:p>
            <w:pPr>
              <w:pStyle w:val="TableText"/>
            </w:pPr>
            <w:r>
              <w:rPr>
                <w:b/>
              </w:rPr>
              <w:t xml:space="preserve">Emerges</w:t>
            </w:r>
          </w:p>
        </w:tc>
        <w:tc>
          <w:tcPr>
            <w:tcW w:w="2400" w:type="dxa"/>
          </w:tcPr>
          <w:p>
            <w:pPr>
              <w:pStyle w:val="TableText"/>
            </w:pPr>
            <w:r>
              <w:rPr>
                <w:b/>
              </w:rPr>
              <w:t xml:space="preserve">What it does</w:t>
            </w:r>
          </w:p>
        </w:tc>
      </w:tr>
      <w:tr>
        <w:tc>
          <w:tcPr>
            <w:tcW w:w="2400" w:type="dxa"/>
          </w:tcPr>
          <w:p>
            <w:pPr>
              <w:pStyle w:val="TableText"/>
            </w:pPr>
            <w:r>
              <w:t xml:space="preserve">First</w:t>
            </w:r>
          </w:p>
        </w:tc>
        <w:tc>
          <w:tcPr>
            <w:tcW w:w="2400" w:type="dxa"/>
          </w:tcPr>
          <w:p>
            <w:pPr>
              <w:pStyle w:val="TableText"/>
            </w:pPr>
            <w:r>
              <w:t xml:space="preserve">January to May, in the south</w:t>
            </w:r>
          </w:p>
        </w:tc>
        <w:tc>
          <w:tcPr>
            <w:tcW w:w="2400" w:type="dxa"/>
          </w:tcPr>
          <w:p>
            <w:pPr>
              <w:pStyle w:val="TableText"/>
            </w:pPr>
            <w:r>
              <w:t xml:space="preserve">Flies more than 650 km north, lays eggs in northern ponds, dies. These are the darners over Ohio in April</w:t>
            </w:r>
          </w:p>
        </w:tc>
      </w:tr>
      <w:tr>
        <w:tc>
          <w:tcPr>
            <w:tcW w:w="2400" w:type="dxa"/>
          </w:tcPr>
          <w:p>
            <w:pPr>
              <w:pStyle w:val="TableText"/>
            </w:pPr>
            <w:r>
              <w:t xml:space="preserve">Second</w:t>
            </w:r>
          </w:p>
        </w:tc>
        <w:tc>
          <w:tcPr>
            <w:tcW w:w="2400" w:type="dxa"/>
          </w:tcPr>
          <w:p>
            <w:pPr>
              <w:pStyle w:val="TableText"/>
            </w:pPr>
            <w:r>
              <w:t xml:space="preserve">May to July, in the north</w:t>
            </w:r>
          </w:p>
        </w:tc>
        <w:tc>
          <w:tcPr>
            <w:tcW w:w="2400" w:type="dxa"/>
          </w:tcPr>
          <w:p>
            <w:pPr>
              <w:pStyle w:val="TableText"/>
            </w:pPr>
            <w:r>
              <w:t xml:space="preserve">Flies more than 680 km south in autumn, lays eggs in southern ponds, dies. This is the September flight</w:t>
            </w:r>
          </w:p>
        </w:tc>
      </w:tr>
      <w:tr>
        <w:tc>
          <w:tcPr>
            <w:tcW w:w="2400" w:type="dxa"/>
          </w:tcPr>
          <w:p>
            <w:pPr>
              <w:pStyle w:val="TableText"/>
            </w:pPr>
            <w:r>
              <w:t xml:space="preserve">Third</w:t>
            </w:r>
          </w:p>
        </w:tc>
        <w:tc>
          <w:tcPr>
            <w:tcW w:w="2400" w:type="dxa"/>
          </w:tcPr>
          <w:p>
            <w:pPr>
              <w:pStyle w:val="TableText"/>
            </w:pPr>
            <w:r>
              <w:t xml:space="preserve">November to January, in the south</w:t>
            </w:r>
          </w:p>
        </w:tc>
        <w:tc>
          <w:tcPr>
            <w:tcW w:w="2400" w:type="dxa"/>
          </w:tcPr>
          <w:p>
            <w:pPr>
              <w:pStyle w:val="TableText"/>
            </w:pPr>
            <w:r>
              <w:t xml:space="preserve">Stays put, breeds locally, and produces the generation that goes north the following spring</w:t>
            </w:r>
          </w:p>
        </w:tc>
      </w:tr>
    </w:tbl>
    <w:p/>
    <w:p>
      <w:r>
        <w:t xml:space="preserve">So no darner sees both ends of the route. The animal over an Ohio pond in April
is the grandchild of the one that was there last September. That is exactly the
monarch's arrangement, arrived at independently, in an insect whose lineage
diverged from the monarch's before there were flowers.</w:t>
      </w:r>
    </w:p>
    <w:p>
      <w:r>
        <w:t xml:space="preserve">The same study found the northbound flight tracks a 9.17 °C thermocline — the
darners move north with a temperature line, which is close to the species'
development threshold.</w:t>
      </w:r>
    </w:p>
    <w:p>
      <w:pPr>
        <w:pStyle w:val="Heading2"/>
      </w:pPr>
      <w:r>
        <w:t xml:space="preserve">The seven species on the chart</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Species</w:t>
            </w:r>
          </w:p>
        </w:tc>
        <w:tc>
          <w:tcPr>
            <w:tcW w:w="2400" w:type="dxa"/>
          </w:tcPr>
          <w:p>
            <w:pPr>
              <w:pStyle w:val="TableText"/>
            </w:pPr>
            <w:r>
              <w:rPr>
                <w:b/>
              </w:rPr>
              <w:t xml:space="preserve">Scientific name</w:t>
            </w:r>
          </w:p>
        </w:tc>
        <w:tc>
          <w:tcPr>
            <w:tcW w:w="2400" w:type="dxa"/>
          </w:tcPr>
          <w:p>
            <w:pPr>
              <w:pStyle w:val="TableText"/>
            </w:pPr>
            <w:r>
              <w:rPr>
                <w:b/>
              </w:rPr>
              <w:t xml:space="preserve">Group</w:t>
            </w:r>
          </w:p>
        </w:tc>
        <w:tc>
          <w:tcPr>
            <w:tcW w:w="2400" w:type="dxa"/>
          </w:tcPr>
          <w:p>
            <w:pPr>
              <w:pStyle w:val="TableText"/>
            </w:pPr>
            <w:r>
              <w:rPr>
                <w:b/>
              </w:rPr>
              <w:t xml:space="preserve">Northbound</w:t>
            </w:r>
          </w:p>
        </w:tc>
        <w:tc>
          <w:tcPr>
            <w:tcW w:w="2400" w:type="dxa"/>
          </w:tcPr>
          <w:p>
            <w:pPr>
              <w:pStyle w:val="TableText"/>
            </w:pPr>
            <w:r>
              <w:rPr>
                <w:b/>
              </w:rPr>
              <w:t xml:space="preserve">Southbound</w:t>
            </w:r>
          </w:p>
        </w:tc>
        <w:tc>
          <w:tcPr>
            <w:tcW w:w="2400" w:type="dxa"/>
          </w:tcPr>
          <w:p>
            <w:pPr>
              <w:pStyle w:val="TableText"/>
            </w:pPr>
            <w:r>
              <w:rPr>
                <w:b/>
              </w:rPr>
              <w:t xml:space="preserve">Winters</w:t>
            </w:r>
          </w:p>
        </w:tc>
      </w:tr>
      <w:tr>
        <w:tc>
          <w:tcPr>
            <w:tcW w:w="2400" w:type="dxa"/>
          </w:tcPr>
          <w:p>
            <w:pPr>
              <w:pStyle w:val="TableText"/>
            </w:pPr>
            <w:r>
              <w:t xml:space="preserve">Common Green Darner</w:t>
            </w:r>
          </w:p>
        </w:tc>
        <w:tc>
          <w:tcPr>
            <w:tcW w:w="2400" w:type="dxa"/>
          </w:tcPr>
          <w:p>
            <w:pPr>
              <w:pStyle w:val="TableText"/>
            </w:pPr>
            <w:r>
              <w:rPr>
                <w:i/>
              </w:rPr>
              <w:t xml:space="preserve">Anax junius</w:t>
            </w:r>
          </w:p>
        </w:tc>
        <w:tc>
          <w:tcPr>
            <w:tcW w:w="2400" w:type="dxa"/>
          </w:tcPr>
          <w:p>
            <w:pPr>
              <w:pStyle w:val="TableText"/>
            </w:pPr>
            <w:r>
              <w:t xml:space="preserve">Darner</w:t>
            </w:r>
          </w:p>
        </w:tc>
        <w:tc>
          <w:tcPr>
            <w:tcW w:w="2400" w:type="dxa"/>
          </w:tcPr>
          <w:p>
            <w:pPr>
              <w:pStyle w:val="TableText"/>
            </w:pPr>
            <w:r>
              <w:t xml:space="preserve">20 Mar–10 May, peak 15 Apr</w:t>
            </w:r>
          </w:p>
        </w:tc>
        <w:tc>
          <w:tcPr>
            <w:tcW w:w="2400" w:type="dxa"/>
          </w:tcPr>
          <w:p>
            <w:pPr>
              <w:pStyle w:val="TableText"/>
            </w:pPr>
            <w:r>
              <w:t xml:space="preserve">15 Aug–10 Oct, peak 10 Sep</w:t>
            </w:r>
          </w:p>
        </w:tc>
        <w:tc>
          <w:tcPr>
            <w:tcW w:w="2400" w:type="dxa"/>
          </w:tcPr>
          <w:p>
            <w:pPr>
              <w:pStyle w:val="TableText"/>
            </w:pPr>
            <w:r>
              <w:t xml:space="preserve">The Gulf states and Mexico, as the third generation</w:t>
            </w:r>
          </w:p>
        </w:tc>
      </w:tr>
      <w:tr>
        <w:tc>
          <w:tcPr>
            <w:tcW w:w="2400" w:type="dxa"/>
          </w:tcPr>
          <w:p>
            <w:pPr>
              <w:pStyle w:val="TableText"/>
            </w:pPr>
            <w:r>
              <w:t xml:space="preserve">Wandering Glider</w:t>
            </w:r>
          </w:p>
        </w:tc>
        <w:tc>
          <w:tcPr>
            <w:tcW w:w="2400" w:type="dxa"/>
          </w:tcPr>
          <w:p>
            <w:pPr>
              <w:pStyle w:val="TableText"/>
            </w:pPr>
            <w:r>
              <w:rPr>
                <w:i/>
              </w:rPr>
              <w:t xml:space="preserve">Pantala flavescens</w:t>
            </w:r>
          </w:p>
        </w:tc>
        <w:tc>
          <w:tcPr>
            <w:tcW w:w="2400" w:type="dxa"/>
          </w:tcPr>
          <w:p>
            <w:pPr>
              <w:pStyle w:val="TableText"/>
            </w:pPr>
            <w:r>
              <w:t xml:space="preserve">Glider</w:t>
            </w:r>
          </w:p>
        </w:tc>
        <w:tc>
          <w:tcPr>
            <w:tcW w:w="2400" w:type="dxa"/>
          </w:tcPr>
          <w:p>
            <w:pPr>
              <w:pStyle w:val="TableText"/>
            </w:pPr>
            <w:r>
              <w:t xml:space="preserve">1 Jun–20 Jul, peak 25 Jun</w:t>
            </w:r>
          </w:p>
        </w:tc>
        <w:tc>
          <w:tcPr>
            <w:tcW w:w="2400" w:type="dxa"/>
          </w:tcPr>
          <w:p>
            <w:pPr>
              <w:pStyle w:val="TableText"/>
            </w:pPr>
            <w:r>
              <w:t xml:space="preserve">10 Aug–30 Sep, peak 1 Sep</w:t>
            </w:r>
          </w:p>
        </w:tc>
        <w:tc>
          <w:tcPr>
            <w:tcW w:w="2400" w:type="dxa"/>
          </w:tcPr>
          <w:p>
            <w:pPr>
              <w:pStyle w:val="TableText"/>
            </w:pPr>
            <w:r>
              <w:t xml:space="preserve">The tropics</w:t>
            </w:r>
          </w:p>
        </w:tc>
      </w:tr>
      <w:tr>
        <w:tc>
          <w:tcPr>
            <w:tcW w:w="2400" w:type="dxa"/>
          </w:tcPr>
          <w:p>
            <w:pPr>
              <w:pStyle w:val="TableText"/>
            </w:pPr>
            <w:r>
              <w:t xml:space="preserve">Spot-winged Glider</w:t>
            </w:r>
          </w:p>
        </w:tc>
        <w:tc>
          <w:tcPr>
            <w:tcW w:w="2400" w:type="dxa"/>
          </w:tcPr>
          <w:p>
            <w:pPr>
              <w:pStyle w:val="TableText"/>
            </w:pPr>
            <w:r>
              <w:rPr>
                <w:i/>
              </w:rPr>
              <w:t xml:space="preserve">Pantala hymenaea</w:t>
            </w:r>
          </w:p>
        </w:tc>
        <w:tc>
          <w:tcPr>
            <w:tcW w:w="2400" w:type="dxa"/>
          </w:tcPr>
          <w:p>
            <w:pPr>
              <w:pStyle w:val="TableText"/>
            </w:pPr>
            <w:r>
              <w:t xml:space="preserve">Glider</w:t>
            </w:r>
          </w:p>
        </w:tc>
        <w:tc>
          <w:tcPr>
            <w:tcW w:w="2400" w:type="dxa"/>
          </w:tcPr>
          <w:p>
            <w:pPr>
              <w:pStyle w:val="TableText"/>
            </w:pPr>
            <w:r>
              <w:t xml:space="preserve">20 May–10 Jul, peak 15 Jun</w:t>
            </w:r>
          </w:p>
        </w:tc>
        <w:tc>
          <w:tcPr>
            <w:tcW w:w="2400" w:type="dxa"/>
          </w:tcPr>
          <w:p>
            <w:pPr>
              <w:pStyle w:val="TableText"/>
            </w:pPr>
            <w:r>
              <w:t xml:space="preserve">15 Aug–30 Sep, peak 1 Sep</w:t>
            </w:r>
          </w:p>
        </w:tc>
        <w:tc>
          <w:tcPr>
            <w:tcW w:w="2400" w:type="dxa"/>
          </w:tcPr>
          <w:p>
            <w:pPr>
              <w:pStyle w:val="TableText"/>
            </w:pPr>
            <w:r>
              <w:t xml:space="preserve">The southern states and the tropics</w:t>
            </w:r>
          </w:p>
        </w:tc>
      </w:tr>
      <w:tr>
        <w:tc>
          <w:tcPr>
            <w:tcW w:w="2400" w:type="dxa"/>
          </w:tcPr>
          <w:p>
            <w:pPr>
              <w:pStyle w:val="TableText"/>
            </w:pPr>
            <w:r>
              <w:t xml:space="preserve">Black Saddlebags</w:t>
            </w:r>
          </w:p>
        </w:tc>
        <w:tc>
          <w:tcPr>
            <w:tcW w:w="2400" w:type="dxa"/>
          </w:tcPr>
          <w:p>
            <w:pPr>
              <w:pStyle w:val="TableText"/>
            </w:pPr>
            <w:r>
              <w:rPr>
                <w:i/>
              </w:rPr>
              <w:t xml:space="preserve">Tramea lacerata</w:t>
            </w:r>
          </w:p>
        </w:tc>
        <w:tc>
          <w:tcPr>
            <w:tcW w:w="2400" w:type="dxa"/>
          </w:tcPr>
          <w:p>
            <w:pPr>
              <w:pStyle w:val="TableText"/>
            </w:pPr>
            <w:r>
              <w:t xml:space="preserve">Saddlebags</w:t>
            </w:r>
          </w:p>
        </w:tc>
        <w:tc>
          <w:tcPr>
            <w:tcW w:w="2400" w:type="dxa"/>
          </w:tcPr>
          <w:p>
            <w:pPr>
              <w:pStyle w:val="TableText"/>
            </w:pPr>
            <w:r>
              <w:t xml:space="preserve">1 May–20 Jun, peak 25 May</w:t>
            </w:r>
          </w:p>
        </w:tc>
        <w:tc>
          <w:tcPr>
            <w:tcW w:w="2400" w:type="dxa"/>
          </w:tcPr>
          <w:p>
            <w:pPr>
              <w:pStyle w:val="TableText"/>
            </w:pPr>
            <w:r>
              <w:t xml:space="preserve">15 Aug–5 Oct, peak 8 Sep</w:t>
            </w:r>
          </w:p>
        </w:tc>
        <w:tc>
          <w:tcPr>
            <w:tcW w:w="2400" w:type="dxa"/>
          </w:tcPr>
          <w:p>
            <w:pPr>
              <w:pStyle w:val="TableText"/>
            </w:pPr>
            <w:r>
              <w:t xml:space="preserve">The Gulf states</w:t>
            </w:r>
          </w:p>
        </w:tc>
      </w:tr>
      <w:tr>
        <w:tc>
          <w:tcPr>
            <w:tcW w:w="2400" w:type="dxa"/>
          </w:tcPr>
          <w:p>
            <w:pPr>
              <w:pStyle w:val="TableText"/>
            </w:pPr>
            <w:r>
              <w:t xml:space="preserve">Carolina Saddlebags</w:t>
            </w:r>
          </w:p>
        </w:tc>
        <w:tc>
          <w:tcPr>
            <w:tcW w:w="2400" w:type="dxa"/>
          </w:tcPr>
          <w:p>
            <w:pPr>
              <w:pStyle w:val="TableText"/>
            </w:pPr>
            <w:r>
              <w:rPr>
                <w:i/>
              </w:rPr>
              <w:t xml:space="preserve">Tramea carolina</w:t>
            </w:r>
          </w:p>
        </w:tc>
        <w:tc>
          <w:tcPr>
            <w:tcW w:w="2400" w:type="dxa"/>
          </w:tcPr>
          <w:p>
            <w:pPr>
              <w:pStyle w:val="TableText"/>
            </w:pPr>
            <w:r>
              <w:t xml:space="preserve">Saddlebags</w:t>
            </w:r>
          </w:p>
        </w:tc>
        <w:tc>
          <w:tcPr>
            <w:tcW w:w="2400" w:type="dxa"/>
          </w:tcPr>
          <w:p>
            <w:pPr>
              <w:pStyle w:val="TableText"/>
            </w:pPr>
            <w:r>
              <w:t xml:space="preserve">10 May–1 Jul, peak 5 Jun</w:t>
            </w:r>
          </w:p>
        </w:tc>
        <w:tc>
          <w:tcPr>
            <w:tcW w:w="2400" w:type="dxa"/>
          </w:tcPr>
          <w:p>
            <w:pPr>
              <w:pStyle w:val="TableText"/>
            </w:pPr>
            <w:r>
              <w:t xml:space="preserve">20 Aug–1 Oct, peak 5 Sep</w:t>
            </w:r>
          </w:p>
        </w:tc>
        <w:tc>
          <w:tcPr>
            <w:tcW w:w="2400" w:type="dxa"/>
          </w:tcPr>
          <w:p>
            <w:pPr>
              <w:pStyle w:val="TableText"/>
            </w:pPr>
            <w:r>
              <w:t xml:space="preserve">The south-eastern states</w:t>
            </w:r>
          </w:p>
        </w:tc>
      </w:tr>
      <w:tr>
        <w:tc>
          <w:tcPr>
            <w:tcW w:w="2400" w:type="dxa"/>
          </w:tcPr>
          <w:p>
            <w:pPr>
              <w:pStyle w:val="TableText"/>
            </w:pPr>
            <w:r>
              <w:t xml:space="preserve">Variegated Meadowhawk</w:t>
            </w:r>
          </w:p>
        </w:tc>
        <w:tc>
          <w:tcPr>
            <w:tcW w:w="2400" w:type="dxa"/>
          </w:tcPr>
          <w:p>
            <w:pPr>
              <w:pStyle w:val="TableText"/>
            </w:pPr>
            <w:r>
              <w:rPr>
                <w:i/>
              </w:rPr>
              <w:t xml:space="preserve">Sympetrum corruptum</w:t>
            </w:r>
          </w:p>
        </w:tc>
        <w:tc>
          <w:tcPr>
            <w:tcW w:w="2400" w:type="dxa"/>
          </w:tcPr>
          <w:p>
            <w:pPr>
              <w:pStyle w:val="TableText"/>
            </w:pPr>
            <w:r>
              <w:t xml:space="preserve">Skimmer</w:t>
            </w:r>
          </w:p>
        </w:tc>
        <w:tc>
          <w:tcPr>
            <w:tcW w:w="2400" w:type="dxa"/>
          </w:tcPr>
          <w:p>
            <w:pPr>
              <w:pStyle w:val="TableText"/>
            </w:pPr>
            <w:r>
              <w:t xml:space="preserve">1 Apr–25 May, peak 25 Apr</w:t>
            </w:r>
          </w:p>
        </w:tc>
        <w:tc>
          <w:tcPr>
            <w:tcW w:w="2400" w:type="dxa"/>
          </w:tcPr>
          <w:p>
            <w:pPr>
              <w:pStyle w:val="TableText"/>
            </w:pPr>
            <w:r>
              <w:t xml:space="preserve">1 Sep–25 Oct, peak 25 Sep</w:t>
            </w:r>
          </w:p>
        </w:tc>
        <w:tc>
          <w:tcPr>
            <w:tcW w:w="2400" w:type="dxa"/>
          </w:tcPr>
          <w:p>
            <w:pPr>
              <w:pStyle w:val="TableText"/>
            </w:pPr>
            <w:r>
              <w:t xml:space="preserve">The southern and south-western states</w:t>
            </w:r>
          </w:p>
        </w:tc>
      </w:tr>
      <w:tr>
        <w:tc>
          <w:tcPr>
            <w:tcW w:w="2400" w:type="dxa"/>
          </w:tcPr>
          <w:p>
            <w:pPr>
              <w:pStyle w:val="TableText"/>
            </w:pPr>
            <w:r>
              <w:t xml:space="preserve">Twelve-spotted Skimmer</w:t>
            </w:r>
          </w:p>
        </w:tc>
        <w:tc>
          <w:tcPr>
            <w:tcW w:w="2400" w:type="dxa"/>
          </w:tcPr>
          <w:p>
            <w:pPr>
              <w:pStyle w:val="TableText"/>
            </w:pPr>
            <w:r>
              <w:rPr>
                <w:i/>
              </w:rPr>
              <w:t xml:space="preserve">Libellula pulchella</w:t>
            </w:r>
          </w:p>
        </w:tc>
        <w:tc>
          <w:tcPr>
            <w:tcW w:w="2400" w:type="dxa"/>
          </w:tcPr>
          <w:p>
            <w:pPr>
              <w:pStyle w:val="TableText"/>
            </w:pPr>
            <w:r>
              <w:t xml:space="preserve">Skimmer</w:t>
            </w:r>
          </w:p>
        </w:tc>
        <w:tc>
          <w:tcPr>
            <w:tcW w:w="2400" w:type="dxa"/>
          </w:tcPr>
          <w:p>
            <w:pPr>
              <w:pStyle w:val="TableText"/>
            </w:pPr>
            <w:r>
              <w:t xml:space="preserve">10 May–25 Jun, peak 1 Jun</w:t>
            </w:r>
          </w:p>
        </w:tc>
        <w:tc>
          <w:tcPr>
            <w:tcW w:w="2400" w:type="dxa"/>
          </w:tcPr>
          <w:p>
            <w:pPr>
              <w:pStyle w:val="TableText"/>
            </w:pPr>
            <w:r>
              <w:t xml:space="preserve">20 Aug–30 Sep, peak 5 Sep</w:t>
            </w:r>
          </w:p>
        </w:tc>
        <w:tc>
          <w:tcPr>
            <w:tcW w:w="2400" w:type="dxa"/>
          </w:tcPr>
          <w:p>
            <w:pPr>
              <w:pStyle w:val="TableText"/>
            </w:pPr>
            <w:r>
              <w:t xml:space="preserve">The southern states</w:t>
            </w:r>
          </w:p>
        </w:tc>
      </w:tr>
    </w:tbl>
    <w:p/>
    <w:p>
      <w:r>
        <w:t xml:space="preserve">What the bars do not say:</w:t>
      </w:r>
    </w:p>
    <w:p>
      <w:pPr>
        <w:pStyle w:val="ListParagraph"/>
        <w:numPr>
          <w:ilvl w:val="0"/>
          <w:numId w:val="1"/>
        </w:numPr>
      </w:pPr>
      <w:r>
        <w:rPr>
          <w:b/>
        </w:rPr>
        <w:t xml:space="preserve">Common green darner</w:t>
      </w:r>
      <w:r>
        <w:t xml:space="preserve"> — the first dragonfly of the Ohio year, in March, and
the last big flight of it, in September. Both are migrants. The resident
darners that grew up in Ohio ponds do not emerge until June and never leave,
which is why the species appears to be present all summer while two different
populations are being watched.</w:t>
      </w:r>
    </w:p>
    <w:p>
      <w:pPr>
        <w:pStyle w:val="ListParagraph"/>
        <w:numPr>
          <w:ilvl w:val="0"/>
          <w:numId w:val="1"/>
        </w:numPr>
      </w:pPr>
      <w:r>
        <w:rPr>
          <w:b/>
        </w:rPr>
        <w:t xml:space="preserve">Wandering glider</w:t>
      </w:r>
      <w:r>
        <w:t xml:space="preserve"> — the most widely distributed dragonfly on Earth and the
longest insect migration known: the Indian Ocean population crosses open sea
between India and East Africa. Ohio sees the northern edge of a much larger
habit. It breeds in temporary pools — water that will not last a month.</w:t>
      </w:r>
    </w:p>
    <w:p>
      <w:pPr>
        <w:pStyle w:val="ListParagraph"/>
        <w:numPr>
          <w:ilvl w:val="0"/>
          <w:numId w:val="1"/>
        </w:numPr>
      </w:pPr>
      <w:r>
        <w:rPr>
          <w:b/>
        </w:rPr>
        <w:t xml:space="preserve">Black saddlebags</w:t>
      </w:r>
      <w:r>
        <w:t xml:space="preserve"> — the commonest migrant after the green darner and the
easiest to pick out of a September swarm; the dark patches at the wing base
are visible at fifty feet.</w:t>
      </w:r>
    </w:p>
    <w:p>
      <w:pPr>
        <w:pStyle w:val="ListParagraph"/>
        <w:numPr>
          <w:ilvl w:val="0"/>
          <w:numId w:val="1"/>
        </w:numPr>
      </w:pPr>
      <w:r>
        <w:rPr>
          <w:b/>
        </w:rPr>
        <w:t xml:space="preserve">Twelve-spotted skimmer</w:t>
      </w:r>
      <w:r>
        <w:t xml:space="preserve"> — a partial migrant. Most of the Ohio population is
resident and a fraction joins the autumn swarms. It is on the chart because it
is the species people most often photograph in one and misidentify.</w:t>
      </w:r>
    </w:p>
    <w:p>
      <w:pPr>
        <w:pStyle w:val="Heading2"/>
      </w:pPr>
      <w:r>
        <w:t xml:space="preserve">The two corridors</w:t>
      </w:r>
    </w:p>
    <w:tbl>
      <w:tblPr>
        <w:tblStyle w:val="TableGrid"/>
        <w:tblW w:w="0" w:type="auto"/>
      </w:tblPr>
      <w:tblGrid>
        <w:gridCol w:w="2400"/>
        <w:gridCol w:w="2400"/>
        <w:gridCol w:w="2400"/>
      </w:tblGrid>
      <w:tr>
        <w:trPr>
          <w:tblHeader/>
        </w:trPr>
        <w:tc>
          <w:tcPr>
            <w:tcW w:w="2400" w:type="dxa"/>
          </w:tcPr>
          <w:p>
            <w:pPr>
              <w:pStyle w:val="TableText"/>
            </w:pPr>
            <w:r>
              <w:rPr>
                <w:b/>
              </w:rPr>
              <w:t xml:space="preserve">Corridor</w:t>
            </w:r>
          </w:p>
        </w:tc>
        <w:tc>
          <w:tcPr>
            <w:tcW w:w="2400" w:type="dxa"/>
          </w:tcPr>
          <w:p>
            <w:pPr>
              <w:pStyle w:val="TableText"/>
            </w:pPr>
            <w:r>
              <w:rPr>
                <w:b/>
              </w:rPr>
              <w:t xml:space="preserve">What it carries</w:t>
            </w:r>
          </w:p>
        </w:tc>
        <w:tc>
          <w:tcPr>
            <w:tcW w:w="2400" w:type="dxa"/>
          </w:tcPr>
          <w:p>
            <w:pPr>
              <w:pStyle w:val="TableText"/>
            </w:pPr>
            <w:r>
              <w:rPr>
                <w:b/>
              </w:rPr>
              <w:t xml:space="preserve">Where it goes</w:t>
            </w:r>
          </w:p>
        </w:tc>
      </w:tr>
      <w:tr>
        <w:tc>
          <w:tcPr>
            <w:tcW w:w="2400" w:type="dxa"/>
          </w:tcPr>
          <w:p>
            <w:pPr>
              <w:pStyle w:val="TableText"/>
            </w:pPr>
            <w:r>
              <w:t xml:space="preserve">Interior</w:t>
            </w:r>
          </w:p>
        </w:tc>
        <w:tc>
          <w:tcPr>
            <w:tcW w:w="2400" w:type="dxa"/>
          </w:tcPr>
          <w:p>
            <w:pPr>
              <w:pStyle w:val="TableText"/>
            </w:pPr>
            <w:r>
              <w:t xml:space="preserve">Green darner, spot-winged glider, black saddlebags</w:t>
            </w:r>
          </w:p>
        </w:tc>
        <w:tc>
          <w:tcPr>
            <w:tcW w:w="2400" w:type="dxa"/>
          </w:tcPr>
          <w:p>
            <w:pPr>
              <w:pStyle w:val="TableText"/>
            </w:pPr>
            <w:r>
              <w:t xml:space="preserve">The Great Lakes basin down the Mississippi and over the Gulf coast into Mexico</w:t>
            </w:r>
          </w:p>
        </w:tc>
      </w:tr>
      <w:tr>
        <w:tc>
          <w:tcPr>
            <w:tcW w:w="2400" w:type="dxa"/>
          </w:tcPr>
          <w:p>
            <w:pPr>
              <w:pStyle w:val="TableText"/>
            </w:pPr>
            <w:r>
              <w:t xml:space="preserve">Coastal</w:t>
            </w:r>
          </w:p>
        </w:tc>
        <w:tc>
          <w:tcPr>
            <w:tcW w:w="2400" w:type="dxa"/>
          </w:tcPr>
          <w:p>
            <w:pPr>
              <w:pStyle w:val="TableText"/>
            </w:pPr>
            <w:r>
              <w:t xml:space="preserve">Wandering glider, Carolina and red saddlebags</w:t>
            </w:r>
          </w:p>
        </w:tc>
        <w:tc>
          <w:tcPr>
            <w:tcW w:w="2400" w:type="dxa"/>
          </w:tcPr>
          <w:p>
            <w:pPr>
              <w:pStyle w:val="TableText"/>
            </w:pPr>
            <w:r>
              <w:t xml:space="preserve">Down the eastern side and out along the Atlantic seaboard to Florida and the islands</w:t>
            </w:r>
          </w:p>
        </w:tc>
      </w:tr>
    </w:tbl>
    <w:p/>
    <w:p>
      <w:r>
        <w:t xml:space="preserve">Read either one knowing that no individual travels the whole of it.</w:t>
      </w:r>
    </w:p>
    <w:p>
      <w:pPr>
        <w:pStyle w:val="Heading2"/>
      </w:pPr>
      <w:r>
        <w:t xml:space="preserve">Where and when to watch</w:t>
      </w:r>
    </w:p>
    <w:p>
      <w:r>
        <w:t xml:space="preserve">The south shore of Lake Erie, late August into September, on a morning behind a
cold front with a north-west wind. Southbound darners and saddlebags stack up
along the shoreline rather than crossing sixty miles of open water, which is why
the swarms are seen there and seldom fifty miles inland — the same barrier, and
the same behaviour, that makes the lakeshore famous for warblers.</w:t>
      </w:r>
    </w:p>
    <w:p>
      <w:r>
        <w:t xml:space="preserve">Look low over open ground: hayfields, dune grass, car parks and beaches in the
late morning, when the air has warmed enough to fly and the swarm is feeding as
it drifts. Spring is quieter and more diffuse. A green darner over a pond in the
third week of March is the first migrant of the Ohio year, weeks before anything
else is flying.</w:t>
      </w:r>
    </w:p>
    <w:p>
      <w:pPr>
        <w:pStyle w:val="Heading2"/>
      </w:pPr>
      <w:r>
        <w:t xml:space="preserve">Recording what you find</w:t>
      </w:r>
    </w:p>
    <w:p>
      <w:r>
        <w:t xml:space="preserve">The </w:t>
      </w:r>
      <w:r>
        <w:rPr>
          <w:b/>
        </w:rPr>
        <w:t xml:space="preserve">Ohio Odonata Society</w:t>
      </w:r>
      <w:r>
        <w:t xml:space="preserve"> and the ODNR Division of Wildlife ran the modern
</w:t>
      </w:r>
      <w:r>
        <w:rPr>
          <w:b/>
        </w:rPr>
        <w:t xml:space="preserve">Ohio Dragonfly Survey</w:t>
      </w:r>
      <w:r>
        <w:t xml:space="preserve"> from 2017 to 2019, following an earlier statewide
survey from 1991 to 2001, with MaLisa Spring as state survey coordinator. The
formal survey period is over, but the photo-record project it ran on continues
to accept observations, and the society's database holds more than 165,000
records curated from them.</w:t>
      </w:r>
    </w:p>
    <w:p>
      <w:r>
        <w:t xml:space="preserve">Its published outcome is </w:t>
      </w:r>
      <w:r>
        <w:rPr>
          <w:i/>
        </w:rPr>
        <w:t xml:space="preserve">A Naturalist's Guide to the Odonata of Ohio</w:t>
      </w:r>
      <w:r>
        <w:t xml:space="preserve"> (2024),
by Dave McShaffrey, MaLisa Spring and Jim McCormac, from the Ohio Biological
Survey — the reference to buy if you want to name what you photographed.</w:t>
      </w:r>
    </w:p>
    <w:p>
      <w:r>
        <w:t xml:space="preserve">The </w:t>
      </w:r>
      <w:r>
        <w:rPr>
          <w:b/>
        </w:rPr>
        <w:t xml:space="preserve">Migratory Dragonfly Partnership</w:t>
      </w:r>
      <w:r>
        <w:t xml:space="preserve"> is the continental effort on the same
question. Its site declines automated access, so it is named here rather than
linked; go to it directly.</w:t>
      </w:r>
    </w:p>
    <w:p>
      <w:pPr>
        <w:pStyle w:val="Heading2"/>
      </w:pPr>
      <w:r>
        <w:t xml:space="preserve">What the chart does not show</w:t>
      </w:r>
    </w:p>
    <w:p>
      <w:r>
        <w:t xml:space="preserve">Ohio has well over a hundred species of dragonflies and damselflies, and almost
all of them are resident. This chart is the migrants, plus two species that
illustrate what a partial migrant and a chiefly-western wanderer look like next
to them. Damselflies do not migrate and are not here.</w:t>
      </w:r>
    </w:p>
    <w:p>
      <w:pPr>
        <w:pStyle w:val="Heading2"/>
      </w:pPr>
      <w:r>
        <w:t xml:space="preserve">The other trackers</w:t>
      </w:r>
    </w:p>
    <w:p>
      <w:pPr>
        <w:pStyle w:val="ListParagraph"/>
        <w:numPr>
          <w:ilvl w:val="0"/>
          <w:numId w:val="1"/>
        </w:numPr>
      </w:pPr>
      <w:hyperlink r:id="rId129">
        <w:r>
          <w:rPr>
            <w:color w:val="1F4E79"/>
            <w:u w:val="single"/>
          </w:rPr>
          <w:t xml:space="preserve">Ohio Bird Migration</w:t>
        </w:r>
      </w:hyperlink>
      <w:r>
        <w:t xml:space="preserve"> — same shoreline, same fronts,
same mornings</w:t>
      </w:r>
    </w:p>
    <w:p>
      <w:pPr>
        <w:pStyle w:val="ListParagraph"/>
        <w:numPr>
          <w:ilvl w:val="0"/>
          <w:numId w:val="1"/>
        </w:numPr>
      </w:pPr>
      <w:hyperlink r:id="rId130">
        <w:r>
          <w:rPr>
            <w:color w:val="1F4E79"/>
            <w:u w:val="single"/>
          </w:rPr>
          <w:t xml:space="preserve">Ohio Bat Migration</w:t>
        </w:r>
      </w:hyperlink>
      <w:r>
        <w:t xml:space="preserve"> — tree bats and cave bats, out of
phase with each other</w:t>
      </w:r>
    </w:p>
    <w:p>
      <w:pPr>
        <w:pStyle w:val="ListParagraph"/>
        <w:numPr>
          <w:ilvl w:val="0"/>
          <w:numId w:val="1"/>
        </w:numPr>
      </w:pPr>
      <w:hyperlink r:id="rId131">
        <w:r>
          <w:rPr>
            <w:color w:val="1F4E79"/>
            <w:u w:val="single"/>
          </w:rPr>
          <w:t xml:space="preserve">Ohio Butterfly and Moth Migration</w:t>
        </w:r>
      </w:hyperlink>
      <w:r>
        <w:t xml:space="preserve"> — the monarch
runs the same three-generation cycle</w:t>
      </w:r>
    </w:p>
    <w:p>
      <w:pPr>
        <w:pStyle w:val="ListParagraph"/>
        <w:numPr>
          <w:ilvl w:val="0"/>
          <w:numId w:val="1"/>
        </w:numPr>
      </w:pPr>
      <w:hyperlink r:id="rId132">
        <w:r>
          <w:rPr>
            <w:color w:val="1F4E79"/>
            <w:u w:val="single"/>
          </w:rPr>
          <w:t xml:space="preserve">Ohio Flower Bloom Times</w:t>
        </w:r>
      </w:hyperlink>
      <w:r>
        <w:t xml:space="preserve"> — 54 plants, four
seasons, and the nectar the other three run on</w:t>
      </w:r>
    </w:p>
    <w:p>
      <w:pPr>
        <w:pStyle w:val="ListParagraph"/>
        <w:numPr>
          <w:ilvl w:val="0"/>
          <w:numId w:val="1"/>
        </w:numPr>
      </w:pPr>
      <w:hyperlink r:id="rId133">
        <w:r>
          <w:rPr>
            <w:color w:val="1F4E79"/>
            <w:u w:val="single"/>
          </w:rPr>
          <w:t xml:space="preserve">Ohio Wild Mushroom Seasons</w:t>
        </w:r>
      </w:hyperlink>
      <w:r>
        <w:t xml:space="preserve"> — 35 fungi, four
seasons, and the only one of these charts with anything lit in January</w:t>
      </w:r>
    </w:p>
    <w:p>
      <w:pPr>
        <w:pStyle w:val="Heading2"/>
      </w:pPr>
      <w:r>
        <w:t xml:space="preserve">Related pages</w:t>
      </w:r>
    </w:p>
    <w:p>
      <w:pPr>
        <w:pStyle w:val="ListParagraph"/>
        <w:numPr>
          <w:ilvl w:val="0"/>
          <w:numId w:val="1"/>
        </w:numPr>
      </w:pPr>
      <w:hyperlink r:id="rId134">
        <w:r>
          <w:rPr>
            <w:color w:val="1F4E79"/>
            <w:u w:val="single"/>
          </w:rPr>
          <w:t xml:space="preserve">Ohio Bird Migration</w:t>
        </w:r>
      </w:hyperlink>
      <w:r>
        <w:t xml:space="preserve"> — where to stand on the lakeshore,
and when; the September mornings are often both at once</w:t>
      </w:r>
    </w:p>
    <w:p>
      <w:pPr>
        <w:pStyle w:val="ListParagraph"/>
        <w:numPr>
          <w:ilvl w:val="0"/>
          <w:numId w:val="1"/>
        </w:numPr>
      </w:pPr>
      <w:hyperlink r:id="rId135">
        <w:r>
          <w:rPr>
            <w:color w:val="1F4E79"/>
            <w:u w:val="single"/>
          </w:rPr>
          <w:t xml:space="preserve">Animal Sanctuaries</w:t>
        </w:r>
      </w:hyperlink>
    </w:p>
    <w:p>
      <w:pPr>
        <w:pStyle w:val="ListParagraph"/>
        <w:numPr>
          <w:ilvl w:val="0"/>
          <w:numId w:val="1"/>
        </w:numPr>
      </w:pPr>
      <w:hyperlink r:id="rId136">
        <w:r>
          <w:rPr>
            <w:color w:val="1F4E79"/>
            <w:u w:val="single"/>
          </w:rPr>
          <w:t xml:space="preserve">Endangered Freshwater Fish</w:t>
        </w:r>
      </w:hyperlink>
      <w:r>
        <w:t xml:space="preserve"> — the other half of
the water story</w:t>
      </w:r>
    </w:p>
    <w:p>
      <w:pPr>
        <w:pStyle w:val="Heading2"/>
      </w:pPr>
      <w:r>
        <w:t xml:space="preserve">Sources</w:t>
      </w:r>
    </w:p>
    <w:p>
      <w:pPr>
        <w:pStyle w:val="ListParagraph"/>
        <w:numPr>
          <w:ilvl w:val="0"/>
          <w:numId w:val="1"/>
        </w:numPr>
      </w:pPr>
      <w:r>
        <w:rPr>
          <w:b/>
        </w:rPr>
        <w:t xml:space="preserve">Hallworth, M. T., Marra, P. P., McFarland, K. P., Zahendra, S. and Studds,
C. E.</w:t>
      </w:r>
      <w:r>
        <w:t xml:space="preserve">, "Tracking dragons: stable isotopes reveal the annual cycle of a
long-distance migratory insect", </w:t>
      </w:r>
      <w:r>
        <w:rPr>
          <w:i/>
        </w:rPr>
        <w:t xml:space="preserve">Biology Letters</w:t>
      </w:r>
      <w:r>
        <w:t xml:space="preserve"> 14, 2018,
DOI 10.1098/rsbl.2018.0741 — the 852 wing samples from eight countries across
1874–2013, the 21 years of citizen-science first-flight data, the
three-generation cycle, the 650 km and 680 km flights, and the 9.17 °C
thermocline. Open-access copy at the National Library of Medicine:
</w:t>
      </w:r>
      <w:hyperlink r:id="rId137">
        <w:r>
          <w:rPr>
            <w:color w:val="1F4E79"/>
            <w:u w:val="single"/>
          </w:rPr>
          <w:t xml:space="preserve">https://pmc.ncbi.nlm.nih.gov/articles/PMC6303508/</w:t>
        </w:r>
      </w:hyperlink>
      <w:r>
        <w:t xml:space="preserve"> Verified 2026-08-15.
The publisher's own copy at </w:t>
      </w:r>
      <w:r>
        <w:rPr>
          <w:rFonts w:ascii="Consolas" w:hAnsi="Consolas"/>
          <w:sz w:val="19"/>
        </w:rPr>
        <w:t xml:space="preserve">royalsocietypublishing.org</w:t>
      </w:r>
      <w:r>
        <w:t xml:space="preserve"> returns 403 to any
automated request, so the PMC copy is linked instead.</w:t>
      </w:r>
    </w:p>
    <w:p>
      <w:pPr>
        <w:pStyle w:val="ListParagraph"/>
        <w:numPr>
          <w:ilvl w:val="0"/>
          <w:numId w:val="1"/>
        </w:numPr>
      </w:pPr>
      <w:r>
        <w:rPr>
          <w:b/>
        </w:rPr>
        <w:t xml:space="preserve">Ohio Odonata Society</w:t>
      </w:r>
      <w:r>
        <w:t xml:space="preserve">, About the Ohio Dragonfly Survey — the survey's
launch, its coordinator, the 165,000-plus records, and the 2024 field guide.
</w:t>
      </w:r>
      <w:hyperlink r:id="rId138">
        <w:r>
          <w:rPr>
            <w:color w:val="1F4E79"/>
            <w:u w:val="single"/>
          </w:rPr>
          <w:t xml:space="preserve">https://www.ohioodonatasociety.org/ohio-dragonfly-survey-about</w:t>
        </w:r>
      </w:hyperlink>
      <w:r>
        <w:t xml:space="preserve"> Verified
2026-08-15.</w:t>
      </w:r>
    </w:p>
    <w:p>
      <w:pPr>
        <w:pStyle w:val="ListParagraph"/>
        <w:numPr>
          <w:ilvl w:val="0"/>
          <w:numId w:val="1"/>
        </w:numPr>
      </w:pPr>
      <w:r>
        <w:rPr>
          <w:b/>
        </w:rPr>
        <w:t xml:space="preserve">The Ohio State University</w:t>
      </w:r>
      <w:r>
        <w:t xml:space="preserve">, Ohio Dragonfly Survey project site — the
1991–2001 and 2017–2019 survey periods and the partnership with the ODNR
Division of Wildlife. </w:t>
      </w:r>
      <w:hyperlink r:id="rId139">
        <w:r>
          <w:rPr>
            <w:color w:val="1F4E79"/>
            <w:u w:val="single"/>
          </w:rPr>
          <w:t xml:space="preserve">https://u.osu.edu/ohioodonatasurvey/</w:t>
        </w:r>
      </w:hyperlink>
      <w:r>
        <w:t xml:space="preserve"> Verified
2026-08-15.</w:t>
      </w:r>
    </w:p>
    <w:p>
      <w:r>
        <w:rPr>
          <w:rFonts w:ascii="Consolas" w:hAnsi="Consolas"/>
          <w:sz w:val="19"/>
        </w:rPr>
        <w:t xml:space="preserve">migratorydragonflypartnership.org</w:t>
      </w:r>
      <w:r>
        <w:t xml:space="preserve"> names this project's crawler in its
robots.txt with </w:t>
      </w:r>
      <w:r>
        <w:rPr>
          <w:rFonts w:ascii="Consolas" w:hAnsi="Consolas"/>
          <w:sz w:val="19"/>
        </w:rPr>
        <w:t xml:space="preserve">Disallow: /</w:t>
      </w:r>
      <w:r>
        <w:t xml:space="preserve">, so the Migratory Dragonfly Partnership is named
above rather than linked.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nature/ohio-dragonfly-migration"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brown-headed-cowbird" TargetMode="External"/><Relationship Id="rId103" Type="http://schemas.openxmlformats.org/officeDocument/2006/relationships/hyperlink" Target="https://www.agoramores.com/places/nature/ohio-birds/great-black-backed-gull" TargetMode="External"/><Relationship Id="rId104" Type="http://schemas.openxmlformats.org/officeDocument/2006/relationships/hyperlink" Target="https://www.agoramores.com/places/nature/ohio-butterflies/great-spangled-fritillary" TargetMode="External"/><Relationship Id="rId105" Type="http://schemas.openxmlformats.org/officeDocument/2006/relationships/hyperlink" Target="https://www.agoramores.com/places/nature/ohio-butterflies/west-virginia-white" TargetMode="External"/><Relationship Id="rId106" Type="http://schemas.openxmlformats.org/officeDocument/2006/relationships/hyperlink" Target="https://www.agoramores.com/places/nature/ohio-softshell-turtle-season" TargetMode="External"/><Relationship Id="rId107" Type="http://schemas.openxmlformats.org/officeDocument/2006/relationships/hyperlink" Target="https://www.agoramores.com/tracking"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permaculture/vegetables/perennial-tubers" TargetMode="External"/><Relationship Id="rId110" Type="http://schemas.openxmlformats.org/officeDocument/2006/relationships/hyperlink" Target="https://www.agoramores.com/permaculture/herbs-and-spices/nutmeg" TargetMode="External"/><Relationship Id="rId111" Type="http://schemas.openxmlformats.org/officeDocument/2006/relationships/hyperlink" Target="https://www.agoramores.com/permaculture/seeds/sunflower-seeds" TargetMode="External"/><Relationship Id="rId112" Type="http://schemas.openxmlformats.org/officeDocument/2006/relationships/hyperlink" Target="https://www.agoramores.com/permaculture/livestock/bee-keeping" TargetMode="External"/><Relationship Id="rId113" Type="http://schemas.openxmlformats.org/officeDocument/2006/relationships/hyperlink" Target="https://www.agoramores.com/food/preservation/drying-peppers" TargetMode="External"/><Relationship Id="rId114" Type="http://schemas.openxmlformats.org/officeDocument/2006/relationships/hyperlink" Target="https://www.agoramores.com/permaculture/teas/annual-tea" TargetMode="External"/><Relationship Id="rId115" Type="http://schemas.openxmlformats.org/officeDocument/2006/relationships/hyperlink" Target="https://www.agoramores.com/tags/nature" TargetMode="External"/><Relationship Id="rId116" Type="http://schemas.openxmlformats.org/officeDocument/2006/relationships/hyperlink" Target="https://www.agoramores.com/places/nature/state-parks" TargetMode="External"/><Relationship Id="rId117" Type="http://schemas.openxmlformats.org/officeDocument/2006/relationships/hyperlink" Target="https://www.agoramores.com/places/nature/ohio-birds/american-robin" TargetMode="External"/><Relationship Id="rId118" Type="http://schemas.openxmlformats.org/officeDocument/2006/relationships/hyperlink" Target="https://www.agoramores.com/places/nature/ohio-butterflies/atlantis-fritillary" TargetMode="External"/><Relationship Id="rId119" Type="http://schemas.openxmlformats.org/officeDocument/2006/relationships/hyperlink" Target="https://www.agoramores.com/places/nature/ohio-birds/black-throated-green-warbler" TargetMode="External"/><Relationship Id="rId120" Type="http://schemas.openxmlformats.org/officeDocument/2006/relationships/hyperlink" Target="https://www.agoramores.com/places/nature/ohio-birds/brant-bird" TargetMode="External"/><Relationship Id="rId121" Type="http://schemas.openxmlformats.org/officeDocument/2006/relationships/hyperlink" Target="https://www.agoramores.com/places/nature/ohio-butterflies/brazilian-skipper" TargetMode="External"/><Relationship Id="rId122" Type="http://schemas.openxmlformats.org/officeDocument/2006/relationships/hyperlink" Target="https://www.agoramores.com/tags/places" TargetMode="External"/><Relationship Id="rId123" Type="http://schemas.openxmlformats.org/officeDocument/2006/relationships/hyperlink" Target="https://www.agoramores.com/places/counties/yakutat-borough-alaska" TargetMode="External"/><Relationship Id="rId124" Type="http://schemas.openxmlformats.org/officeDocument/2006/relationships/hyperlink" Target="https://www.agoramores.com/places/states/alaska" TargetMode="External"/><Relationship Id="rId125" Type="http://schemas.openxmlformats.org/officeDocument/2006/relationships/hyperlink" Target="https://www.agoramores.com/places/states/new-mexico" TargetMode="External"/><Relationship Id="rId126" Type="http://schemas.openxmlformats.org/officeDocument/2006/relationships/hyperlink" Target="https://www.agoramores.com/places/states/wyoming" TargetMode="External"/><Relationship Id="rId127" Type="http://schemas.openxmlformats.org/officeDocument/2006/relationships/hyperlink" Target="https://www.agoramores.com/places/countries/france" TargetMode="External"/><Relationship Id="rId128" Type="http://schemas.openxmlformats.org/officeDocument/2006/relationships/hyperlink" Target="https://www.agoramores.com/places/states/connecticut" TargetMode="External"/><Relationship Id="rId129" Type="http://schemas.openxmlformats.org/officeDocument/2006/relationships/hyperlink" Target="https://www.agoramores.com/places/nature/ohio-bird-migration" TargetMode="External"/><Relationship Id="rId130" Type="http://schemas.openxmlformats.org/officeDocument/2006/relationships/hyperlink" Target="https://www.agoramores.com/places/nature/ohio-bat-migration" TargetMode="External"/><Relationship Id="rId131" Type="http://schemas.openxmlformats.org/officeDocument/2006/relationships/hyperlink" Target="https://www.agoramores.com/places/nature/ohio-butterfly-migration" TargetMode="External"/><Relationship Id="rId132" Type="http://schemas.openxmlformats.org/officeDocument/2006/relationships/hyperlink" Target="https://www.agoramores.com/places/nature/ohio-flower-bloom-times" TargetMode="External"/><Relationship Id="rId133" Type="http://schemas.openxmlformats.org/officeDocument/2006/relationships/hyperlink" Target="https://www.agoramores.com/places/nature/ohio-wild-mushroom-seasons" TargetMode="External"/><Relationship Id="rId134" Type="http://schemas.openxmlformats.org/officeDocument/2006/relationships/hyperlink" Target="https://www.agoramores.com/places/nature/ohio-bird-migration" TargetMode="External"/><Relationship Id="rId135" Type="http://schemas.openxmlformats.org/officeDocument/2006/relationships/hyperlink" Target="https://www.agoramores.com/places/nature/animal-sanctuaries" TargetMode="External"/><Relationship Id="rId136" Type="http://schemas.openxmlformats.org/officeDocument/2006/relationships/hyperlink" Target="https://www.agoramores.com/places/nature/endanger-freshwater-fish" TargetMode="External"/><Relationship Id="rId137" Type="http://schemas.openxmlformats.org/officeDocument/2006/relationships/hyperlink" Target="https://pmc.ncbi.nlm.nih.gov/articles/PMC6303508/" TargetMode="External"/><Relationship Id="rId138" Type="http://schemas.openxmlformats.org/officeDocument/2006/relationships/hyperlink" Target="https://www.ohioodonatasociety.org/ohio-dragonfly-survey-about" TargetMode="External"/><Relationship Id="rId139" Type="http://schemas.openxmlformats.org/officeDocument/2006/relationships/hyperlink" Target="https://u.osu.edu/ohioodonatasurvey/"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dragonfly migration</dc:title>
  <dc:creator>Agoramores</dc:creator>
  <cp:keywords>places, nature, leisure, ohio</cp:keywords>
  <dcterms:created xsi:type="dcterms:W3CDTF">2026-08-23T05:46:55Z</dcterms:created>
</cp:coreProperties>
</file>