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Peas</w:t>
      </w:r>
    </w:p>
    <w:p>
      <w:pPr>
        <w:pStyle w:val="Subtitle"/>
      </w:pPr>
      <w:hyperlink r:id="rId100">
        <w:r>
          <w:rPr>
            <w:color w:val="1F4E79"/>
            <w:u w:val="single"/>
          </w:rPr>
          <w:t xml:space="preserve">https://www.agoramores.com/permaculture/vegetables/peas</w:t>
        </w:r>
      </w:hyperlink>
    </w:p>
    <w:p>
      <w:pPr>
        <w:pStyle w:val="Subtitle"/>
      </w:pPr>
      <w:r>
        <w:t xml:space="preserve">Tags: growing · vegetables</w:t>
      </w:r>
    </w:p>
    <w:p>
      <w:pPr>
        <w:pBdr>
          <w:bottom w:val="single" w:sz="6" w:space="1" w:color="808080"/>
        </w:pBdr>
      </w:pPr>
    </w:p>
    <w:p>
      <w:pPr>
        <w:pStyle w:val="Heading1"/>
      </w:pPr>
      <w:r>
        <w:t xml:space="preserve">Related</w:t>
      </w:r>
    </w:p>
    <w:p>
      <w:pPr>
        <w:pStyle w:val="Heading2"/>
      </w:pPr>
      <w:hyperlink r:id="rId101">
        <w:r>
          <w:rPr>
            <w:color w:val="1F4E79"/>
            <w:u w:val="single"/>
          </w:rPr>
          <w:t xml:space="preserve">vegetables</w:t>
        </w:r>
      </w:hyperlink>
    </w:p>
    <w:p>
      <w:pPr>
        <w:pStyle w:val="ListParagraph"/>
        <w:numPr>
          <w:ilvl w:val="0"/>
          <w:numId w:val="1"/>
        </w:numPr>
      </w:pPr>
      <w:hyperlink r:id="rId102">
        <w:r>
          <w:rPr>
            <w:color w:val="1F4E79"/>
            <w:u w:val="single"/>
          </w:rPr>
          <w:t xml:space="preserve">broccoli</w:t>
        </w:r>
      </w:hyperlink>
    </w:p>
    <w:p>
      <w:pPr>
        <w:pStyle w:val="ListParagraph"/>
        <w:numPr>
          <w:ilvl w:val="0"/>
          <w:numId w:val="1"/>
        </w:numPr>
      </w:pPr>
      <w:hyperlink r:id="rId103">
        <w:r>
          <w:rPr>
            <w:color w:val="1F4E79"/>
            <w:u w:val="single"/>
          </w:rPr>
          <w:t xml:space="preserve">garlic</w:t>
        </w:r>
      </w:hyperlink>
    </w:p>
    <w:p>
      <w:pPr>
        <w:pStyle w:val="ListParagraph"/>
        <w:numPr>
          <w:ilvl w:val="0"/>
          <w:numId w:val="1"/>
        </w:numPr>
      </w:pPr>
      <w:hyperlink r:id="rId104">
        <w:r>
          <w:rPr>
            <w:color w:val="1F4E79"/>
            <w:u w:val="single"/>
          </w:rPr>
          <w:t xml:space="preserve">Peanuts</w:t>
        </w:r>
      </w:hyperlink>
    </w:p>
    <w:p>
      <w:pPr>
        <w:pStyle w:val="ListParagraph"/>
        <w:numPr>
          <w:ilvl w:val="0"/>
          <w:numId w:val="1"/>
        </w:numPr>
      </w:pPr>
      <w:hyperlink r:id="rId105">
        <w:r>
          <w:rPr>
            <w:color w:val="1F4E79"/>
            <w:u w:val="single"/>
          </w:rPr>
          <w:t xml:space="preserve">legumes</w:t>
        </w:r>
      </w:hyperlink>
    </w:p>
    <w:p>
      <w:pPr>
        <w:pStyle w:val="ListParagraph"/>
        <w:numPr>
          <w:ilvl w:val="0"/>
          <w:numId w:val="1"/>
        </w:numPr>
      </w:pPr>
      <w:hyperlink r:id="rId106">
        <w:r>
          <w:rPr>
            <w:color w:val="1F4E79"/>
            <w:u w:val="single"/>
          </w:rPr>
          <w:t xml:space="preserve">cabbage</w:t>
        </w:r>
      </w:hyperlink>
    </w:p>
    <w:p>
      <w:pPr>
        <w:pStyle w:val="ListParagraph"/>
        <w:numPr>
          <w:ilvl w:val="0"/>
          <w:numId w:val="1"/>
        </w:numPr>
      </w:pPr>
      <w:hyperlink r:id="rId107">
        <w:r>
          <w:rPr>
            <w:color w:val="1F4E79"/>
            <w:u w:val="single"/>
          </w:rPr>
          <w:t xml:space="preserve">Paste Tomatoes</w:t>
        </w:r>
      </w:hyperlink>
    </w:p>
    <w:p>
      <w:pPr>
        <w:pStyle w:val="Heading2"/>
      </w:pPr>
      <w:hyperlink r:id="rId108">
        <w:r>
          <w:rPr>
            <w:color w:val="1F4E79"/>
            <w:u w:val="single"/>
          </w:rPr>
          <w:t xml:space="preserve">growing</w:t>
        </w:r>
      </w:hyperlink>
    </w:p>
    <w:p>
      <w:pPr>
        <w:pStyle w:val="ListParagraph"/>
        <w:numPr>
          <w:ilvl w:val="0"/>
          <w:numId w:val="1"/>
        </w:numPr>
      </w:pPr>
      <w:hyperlink r:id="rId109">
        <w:r>
          <w:rPr>
            <w:color w:val="1F4E79"/>
            <w:u w:val="single"/>
          </w:rPr>
          <w:t xml:space="preserve">our gardens</w:t>
        </w:r>
      </w:hyperlink>
    </w:p>
    <w:p>
      <w:pPr>
        <w:pStyle w:val="ListParagraph"/>
        <w:numPr>
          <w:ilvl w:val="0"/>
          <w:numId w:val="1"/>
        </w:numPr>
      </w:pPr>
      <w:hyperlink r:id="rId110">
        <w:r>
          <w:rPr>
            <w:color w:val="1F4E79"/>
            <w:u w:val="single"/>
          </w:rPr>
          <w:t xml:space="preserve">Poultry</w:t>
        </w:r>
      </w:hyperlink>
    </w:p>
    <w:p>
      <w:pPr>
        <w:pStyle w:val="ListParagraph"/>
        <w:numPr>
          <w:ilvl w:val="0"/>
          <w:numId w:val="1"/>
        </w:numPr>
      </w:pPr>
      <w:hyperlink r:id="rId111">
        <w:r>
          <w:rPr>
            <w:color w:val="1F4E79"/>
            <w:u w:val="single"/>
          </w:rPr>
          <w:t xml:space="preserve">basil</w:t>
        </w:r>
      </w:hyperlink>
    </w:p>
    <w:p>
      <w:pPr>
        <w:pStyle w:val="ListParagraph"/>
        <w:numPr>
          <w:ilvl w:val="0"/>
          <w:numId w:val="1"/>
        </w:numPr>
      </w:pPr>
      <w:hyperlink r:id="rId112">
        <w:r>
          <w:rPr>
            <w:color w:val="1F4E79"/>
            <w:u w:val="single"/>
          </w:rPr>
          <w:t xml:space="preserve">Chicken</w:t>
        </w:r>
      </w:hyperlink>
    </w:p>
    <w:p>
      <w:pPr>
        <w:pStyle w:val="ListParagraph"/>
        <w:numPr>
          <w:ilvl w:val="0"/>
          <w:numId w:val="1"/>
        </w:numPr>
      </w:pPr>
      <w:hyperlink r:id="rId113">
        <w:r>
          <w:rPr>
            <w:color w:val="1F4E79"/>
            <w:u w:val="single"/>
          </w:rPr>
          <w:t xml:space="preserve">Dried Fruit</w:t>
        </w:r>
      </w:hyperlink>
    </w:p>
    <w:p>
      <w:pPr>
        <w:pStyle w:val="ListParagraph"/>
        <w:numPr>
          <w:ilvl w:val="0"/>
          <w:numId w:val="1"/>
        </w:numPr>
      </w:pPr>
      <w:hyperlink r:id="rId114">
        <w:r>
          <w:rPr>
            <w:color w:val="1F4E79"/>
            <w:u w:val="single"/>
          </w:rPr>
          <w:t xml:space="preserve">Sunflower Seeds</w:t>
        </w:r>
      </w:hyperlink>
    </w:p>
    <w:p>
      <w:pPr>
        <w:pStyle w:val="Heading1"/>
      </w:pPr>
      <w:r>
        <w:t xml:space="preserve">Peas</w:t>
      </w:r>
    </w:p>
    <w:p>
      <w:pPr>
        <w:pStyle w:val="Heading1"/>
      </w:pPr>
      <w:r>
        <w:t xml:space="preserve">Outdoor</w:t>
      </w:r>
    </w:p>
    <w:p>
      <w:pPr>
        <w:pStyle w:val="Heading1"/>
      </w:pPr>
      <w:r>
        <w:t xml:space="preserve">Indoor or patio varietes</w:t>
      </w:r>
    </w:p>
    <w:p>
      <w:r>
        <w:t xml:space="preserve">Based on the search results, several excellent compact pea varieties fit your needs. They are often called "dwarf" or "bush" peas and are bred specifically for their tidy, upright growth. However, while many can grow without a trellis, a bit of short support can still be helpful for stability .</w:t>
      </w:r>
    </w:p>
    <w:p>
      <w:r>
        <w:t xml:space="preserve">Here are some of the best "no support needed" pea varieties, all of which are safe to eat fresh:</w:t>
      </w:r>
    </w:p>
    <w:p>
      <w:pPr>
        <w:pStyle w:val="Heading3"/>
      </w:pPr>
      <w:r>
        <w:t xml:space="preserve">🌱 Top Compact Pea Varieties</w:t>
      </w:r>
    </w:p>
    <w:p>
      <w:r>
        <w:t xml:space="preserve">sugar snap pea
snow pea
purple snow pea</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Variety Name</w:t>
            </w:r>
          </w:p>
        </w:tc>
        <w:tc>
          <w:tcPr>
            <w:tcW w:w="2400" w:type="dxa"/>
          </w:tcPr>
          <w:p>
            <w:pPr>
              <w:pStyle w:val="TableText"/>
            </w:pPr>
            <w:r>
              <w:rPr>
                <w:b/>
              </w:rPr>
              <w:t xml:space="preserve">Final Height</w:t>
            </w:r>
          </w:p>
        </w:tc>
        <w:tc>
          <w:tcPr>
            <w:tcW w:w="2400" w:type="dxa"/>
          </w:tcPr>
          <w:p>
            <w:pPr>
              <w:pStyle w:val="TableText"/>
            </w:pPr>
            <w:r>
              <w:rPr>
                <w:b/>
              </w:rPr>
              <w:t xml:space="preserve">Key Feature</w:t>
            </w:r>
          </w:p>
        </w:tc>
        <w:tc>
          <w:tcPr>
            <w:tcW w:w="2400" w:type="dxa"/>
          </w:tcPr>
          <w:p>
            <w:pPr>
              <w:pStyle w:val="TableText"/>
            </w:pPr>
            <w:r>
              <w:rPr>
                <w:b/>
              </w:rPr>
              <w:t xml:space="preserve">Support Note</w:t>
            </w:r>
          </w:p>
        </w:tc>
      </w:tr>
      <w:tr>
        <w:tc>
          <w:tcPr>
            <w:tcW w:w="2400" w:type="dxa"/>
          </w:tcPr>
          <w:p>
            <w:pPr>
              <w:pStyle w:val="TableText"/>
            </w:pPr>
            <w:r>
              <w:rPr>
                <w:b/>
              </w:rPr>
              <w:t xml:space="preserve">'</w:t>
            </w:r>
            <w:hyperlink r:id="rId115">
              <w:r>
                <w:rPr>
                  <w:b/>
                  <w:color w:val="1F4E79"/>
                  <w:u w:val="single"/>
                </w:rPr>
                <w:t xml:space="preserve">Half Pint</w:t>
              </w:r>
            </w:hyperlink>
            <w:r>
              <w:rPr>
                <w:b/>
              </w:rPr>
              <w:t xml:space="preserve">'</w:t>
            </w:r>
          </w:p>
        </w:tc>
        <w:tc>
          <w:tcPr>
            <w:tcW w:w="2400" w:type="dxa"/>
          </w:tcPr>
          <w:p>
            <w:pPr>
              <w:pStyle w:val="TableText"/>
            </w:pPr>
            <w:r>
              <w:t xml:space="preserve">40 cm (16 in)</w:t>
            </w:r>
          </w:p>
        </w:tc>
        <w:tc>
          <w:tcPr>
            <w:tcW w:w="2400" w:type="dxa"/>
          </w:tcPr>
          <w:p>
            <w:pPr>
              <w:pStyle w:val="TableText"/>
            </w:pPr>
            <w:r>
              <w:t xml:space="preserve">Exceptionally compact and productive; ideal for pots and balconies</w:t>
            </w:r>
          </w:p>
        </w:tc>
        <w:tc>
          <w:tcPr>
            <w:tcW w:w="2400" w:type="dxa"/>
          </w:tcPr>
          <w:p>
            <w:pPr>
              <w:pStyle w:val="TableText"/>
            </w:pPr>
            <w:r>
              <w:t xml:space="preserve">Can grow with </w:t>
            </w:r>
            <w:r>
              <w:rPr>
                <w:b/>
              </w:rPr>
              <w:t xml:space="preserve">minimal or no support</w:t>
            </w:r>
          </w:p>
        </w:tc>
      </w:tr>
      <w:tr>
        <w:tc>
          <w:tcPr>
            <w:tcW w:w="2400" w:type="dxa"/>
          </w:tcPr>
          <w:p>
            <w:pPr>
              <w:pStyle w:val="TableText"/>
            </w:pPr>
            <w:r>
              <w:rPr>
                <w:b/>
              </w:rPr>
              <w:t xml:space="preserve">'</w:t>
            </w:r>
            <w:hyperlink r:id="rId116">
              <w:r>
                <w:rPr>
                  <w:b/>
                  <w:color w:val="1F4E79"/>
                  <w:u w:val="single"/>
                </w:rPr>
                <w:t xml:space="preserve">Bernard</w:t>
              </w:r>
            </w:hyperlink>
            <w:r>
              <w:rPr>
                <w:b/>
              </w:rPr>
              <w:t xml:space="preserve">'</w:t>
            </w:r>
          </w:p>
        </w:tc>
        <w:tc>
          <w:tcPr>
            <w:tcW w:w="2400" w:type="dxa"/>
          </w:tcPr>
          <w:p>
            <w:pPr>
              <w:pStyle w:val="TableText"/>
            </w:pPr>
            <w:r>
              <w:t xml:space="preserve">35 cm (14 in)</w:t>
            </w:r>
          </w:p>
        </w:tc>
        <w:tc>
          <w:tcPr>
            <w:tcW w:w="2400" w:type="dxa"/>
          </w:tcPr>
          <w:p>
            <w:pPr>
              <w:pStyle w:val="TableText"/>
            </w:pPr>
            <w:r>
              <w:t xml:space="preserve">Self-supporting vines that cling together like velcro to form a neat bush</w:t>
            </w:r>
          </w:p>
        </w:tc>
        <w:tc>
          <w:tcPr>
            <w:tcW w:w="2400" w:type="dxa"/>
          </w:tcPr>
          <w:p>
            <w:pPr>
              <w:pStyle w:val="TableText"/>
            </w:pPr>
            <w:r>
              <w:rPr>
                <w:b/>
              </w:rPr>
              <w:t xml:space="preserve">No support needed</w:t>
            </w:r>
          </w:p>
        </w:tc>
      </w:tr>
      <w:tr>
        <w:tc>
          <w:tcPr>
            <w:tcW w:w="2400" w:type="dxa"/>
          </w:tcPr>
          <w:p>
            <w:pPr>
              <w:pStyle w:val="TableText"/>
            </w:pPr>
            <w:r>
              <w:rPr>
                <w:b/>
              </w:rPr>
              <w:t xml:space="preserve">'</w:t>
            </w:r>
            <w:hyperlink r:id="rId117">
              <w:r>
                <w:rPr>
                  <w:b/>
                  <w:color w:val="1F4E79"/>
                  <w:u w:val="single"/>
                </w:rPr>
                <w:t xml:space="preserve">Meteor</w:t>
              </w:r>
            </w:hyperlink>
            <w:r>
              <w:rPr>
                <w:b/>
              </w:rPr>
              <w:t xml:space="preserve">'</w:t>
            </w:r>
          </w:p>
        </w:tc>
        <w:tc>
          <w:tcPr>
            <w:tcW w:w="2400" w:type="dxa"/>
          </w:tcPr>
          <w:p>
            <w:pPr>
              <w:pStyle w:val="TableText"/>
            </w:pPr>
            <w:r>
              <w:t xml:space="preserve">35-45 cm (14-18 in)</w:t>
            </w:r>
          </w:p>
        </w:tc>
        <w:tc>
          <w:tcPr>
            <w:tcW w:w="2400" w:type="dxa"/>
          </w:tcPr>
          <w:p>
            <w:pPr>
              <w:pStyle w:val="TableText"/>
            </w:pPr>
            <w:r>
              <w:t xml:space="preserve">Very winter-hardy and compact; good for containers</w:t>
            </w:r>
          </w:p>
        </w:tc>
        <w:tc>
          <w:tcPr>
            <w:tcW w:w="2400" w:type="dxa"/>
          </w:tcPr>
          <w:p>
            <w:pPr>
              <w:pStyle w:val="TableText"/>
            </w:pPr>
            <w:r>
              <w:t xml:space="preserve">Won't need much support</w:t>
            </w:r>
          </w:p>
        </w:tc>
      </w:tr>
      <w:tr>
        <w:tc>
          <w:tcPr>
            <w:tcW w:w="2400" w:type="dxa"/>
          </w:tcPr>
          <w:p>
            <w:pPr>
              <w:pStyle w:val="TableText"/>
            </w:pPr>
            <w:r>
              <w:rPr>
                <w:b/>
              </w:rPr>
              <w:t xml:space="preserve">'</w:t>
            </w:r>
            <w:hyperlink r:id="rId118">
              <w:r>
                <w:rPr>
                  <w:b/>
                  <w:color w:val="1F4E79"/>
                  <w:u w:val="single"/>
                </w:rPr>
                <w:t xml:space="preserve">Waverex</w:t>
              </w:r>
            </w:hyperlink>
            <w:r>
              <w:rPr>
                <w:b/>
              </w:rPr>
              <w:t xml:space="preserve">'</w:t>
            </w:r>
          </w:p>
        </w:tc>
        <w:tc>
          <w:tcPr>
            <w:tcW w:w="2400" w:type="dxa"/>
          </w:tcPr>
          <w:p>
            <w:pPr>
              <w:pStyle w:val="TableText"/>
            </w:pPr>
            <w:r>
              <w:t xml:space="preserve">Not specified</w:t>
            </w:r>
          </w:p>
        </w:tc>
        <w:tc>
          <w:tcPr>
            <w:tcW w:w="2400" w:type="dxa"/>
          </w:tcPr>
          <w:p>
            <w:pPr>
              <w:pStyle w:val="TableText"/>
            </w:pPr>
            <w:r>
              <w:t xml:space="preserve">A dwarf, semi-bushy heirloom variety with high yields</w:t>
            </w:r>
          </w:p>
        </w:tc>
        <w:tc>
          <w:tcPr>
            <w:tcW w:w="2400" w:type="dxa"/>
          </w:tcPr>
          <w:p>
            <w:pPr>
              <w:pStyle w:val="TableText"/>
            </w:pPr>
            <w:r>
              <w:t xml:space="preserve">Can often be grown without supports</w:t>
            </w:r>
          </w:p>
        </w:tc>
      </w:tr>
      <w:tr>
        <w:tc>
          <w:tcPr>
            <w:tcW w:w="2400" w:type="dxa"/>
          </w:tcPr>
          <w:p>
            <w:pPr>
              <w:pStyle w:val="TableText"/>
            </w:pPr>
            <w:r>
              <w:rPr>
                <w:b/>
              </w:rPr>
              <w:t xml:space="preserve">'</w:t>
            </w:r>
            <w:hyperlink r:id="rId119">
              <w:r>
                <w:rPr>
                  <w:b/>
                  <w:color w:val="1F4E79"/>
                  <w:u w:val="single"/>
                </w:rPr>
                <w:t xml:space="preserve">Garden Novella</w:t>
              </w:r>
            </w:hyperlink>
            <w:r>
              <w:rPr>
                <w:b/>
              </w:rPr>
              <w:t xml:space="preserve">'</w:t>
            </w:r>
          </w:p>
        </w:tc>
        <w:tc>
          <w:tcPr>
            <w:tcW w:w="2400" w:type="dxa"/>
          </w:tcPr>
          <w:p>
            <w:pPr>
              <w:pStyle w:val="TableText"/>
            </w:pPr>
            <w:r>
              <w:t xml:space="preserve">Not specified</w:t>
            </w:r>
          </w:p>
        </w:tc>
        <w:tc>
          <w:tcPr>
            <w:tcW w:w="2400" w:type="dxa"/>
          </w:tcPr>
          <w:p>
            <w:pPr>
              <w:pStyle w:val="TableText"/>
            </w:pPr>
            <w:r>
              <w:t xml:space="preserve">A self-supporting dwarf pea with pods at the top for easy picking</w:t>
            </w:r>
          </w:p>
        </w:tc>
        <w:tc>
          <w:tcPr>
            <w:tcW w:w="2400" w:type="dxa"/>
          </w:tcPr>
          <w:p>
            <w:pPr>
              <w:pStyle w:val="TableText"/>
            </w:pPr>
            <w:r>
              <w:rPr>
                <w:b/>
              </w:rPr>
              <w:t xml:space="preserve">Requires no staking</w:t>
            </w:r>
          </w:p>
        </w:tc>
      </w:tr>
      <w:tr>
        <w:tc>
          <w:tcPr>
            <w:tcW w:w="2400" w:type="dxa"/>
          </w:tcPr>
          <w:p>
            <w:pPr>
              <w:pStyle w:val="TableText"/>
            </w:pPr>
            <w:r>
              <w:rPr>
                <w:b/>
              </w:rPr>
              <w:t xml:space="preserve">'</w:t>
            </w:r>
            <w:hyperlink r:id="rId120">
              <w:r>
                <w:rPr>
                  <w:b/>
                  <w:color w:val="1F4E79"/>
                  <w:u w:val="single"/>
                </w:rPr>
                <w:t xml:space="preserve">Earlicrop Massey</w:t>
              </w:r>
            </w:hyperlink>
            <w:r>
              <w:rPr>
                <w:b/>
              </w:rPr>
              <w:t xml:space="preserve">'</w:t>
            </w:r>
          </w:p>
        </w:tc>
        <w:tc>
          <w:tcPr>
            <w:tcW w:w="2400" w:type="dxa"/>
          </w:tcPr>
          <w:p>
            <w:pPr>
              <w:pStyle w:val="TableText"/>
            </w:pPr>
            <w:r>
              <w:t xml:space="preserve">Not specified</w:t>
            </w:r>
          </w:p>
        </w:tc>
        <w:tc>
          <w:tcPr>
            <w:tcW w:w="2400" w:type="dxa"/>
          </w:tcPr>
          <w:p>
            <w:pPr>
              <w:pStyle w:val="TableText"/>
            </w:pPr>
            <w:r>
              <w:t xml:space="preserve">A heavy-cropping, early-maturing dwarf variety</w:t>
            </w:r>
          </w:p>
        </w:tc>
        <w:tc>
          <w:tcPr>
            <w:tcW w:w="2400" w:type="dxa"/>
          </w:tcPr>
          <w:p>
            <w:pPr>
              <w:pStyle w:val="TableText"/>
            </w:pPr>
            <w:r>
              <w:t xml:space="preserve">Does not require a trellis to climb on</w:t>
            </w:r>
          </w:p>
        </w:tc>
      </w:tr>
      <w:tr>
        <w:tc>
          <w:tcPr>
            <w:tcW w:w="2400" w:type="dxa"/>
          </w:tcPr>
          <w:p>
            <w:pPr>
              <w:pStyle w:val="TableText"/>
            </w:pPr>
            <w:r>
              <w:rPr>
                <w:b/>
              </w:rPr>
              <w:t xml:space="preserve">'</w:t>
            </w:r>
            <w:hyperlink r:id="rId121">
              <w:r>
                <w:rPr>
                  <w:b/>
                  <w:color w:val="1F4E79"/>
                  <w:u w:val="single"/>
                </w:rPr>
                <w:t xml:space="preserve">Greenfeast</w:t>
              </w:r>
            </w:hyperlink>
            <w:r>
              <w:rPr>
                <w:b/>
              </w:rPr>
              <w:t xml:space="preserve">'</w:t>
            </w:r>
          </w:p>
        </w:tc>
        <w:tc>
          <w:tcPr>
            <w:tcW w:w="2400" w:type="dxa"/>
          </w:tcPr>
          <w:p>
            <w:pPr>
              <w:pStyle w:val="TableText"/>
            </w:pPr>
            <w:r>
              <w:t xml:space="preserve">Not specified</w:t>
            </w:r>
          </w:p>
        </w:tc>
        <w:tc>
          <w:tcPr>
            <w:tcW w:w="2400" w:type="dxa"/>
          </w:tcPr>
          <w:p>
            <w:pPr>
              <w:pStyle w:val="TableText"/>
            </w:pPr>
            <w:r>
              <w:t xml:space="preserve">A mid-season dwarf variety with a heavy crop of large pods</w:t>
            </w:r>
          </w:p>
        </w:tc>
        <w:tc>
          <w:tcPr>
            <w:tcW w:w="2400" w:type="dxa"/>
          </w:tcPr>
          <w:p>
            <w:pPr>
              <w:pStyle w:val="TableText"/>
            </w:pPr>
            <w:r>
              <w:t xml:space="preserve">Does not require a trellis to climb on</w:t>
            </w:r>
          </w:p>
        </w:tc>
      </w:tr>
      <w:tr>
        <w:tc>
          <w:tcPr>
            <w:tcW w:w="2400" w:type="dxa"/>
          </w:tcPr>
          <w:p>
            <w:pPr>
              <w:pStyle w:val="TableText"/>
            </w:pPr>
            <w:r>
              <w:t xml:space="preserve">Tom Thumb pea</w:t>
            </w:r>
          </w:p>
        </w:tc>
        <w:tc>
          <w:tcPr>
            <w:tcW w:w="2400" w:type="dxa"/>
          </w:tcPr>
          <w:p>
            <w:pPr>
              <w:pStyle w:val="TableText"/>
            </w:pPr>
          </w:p>
        </w:tc>
        <w:tc>
          <w:tcPr>
            <w:tcW w:w="2400" w:type="dxa"/>
          </w:tcPr>
          <w:p>
            <w:pPr>
              <w:pStyle w:val="TableText"/>
            </w:pPr>
          </w:p>
        </w:tc>
        <w:tc>
          <w:tcPr>
            <w:tcW w:w="2400" w:type="dxa"/>
          </w:tcPr>
          <w:p>
            <w:pPr>
              <w:pStyle w:val="TableText"/>
            </w:pPr>
          </w:p>
        </w:tc>
      </w:tr>
    </w:tbl>
    <w:p/>
    <w:p>
      <w:pPr>
        <w:pStyle w:val="Heading3"/>
      </w:pPr>
      <w:r>
        <w:t xml:space="preserve">💡 A Note on "No Support"</w:t>
      </w:r>
    </w:p>
    <w:p>
      <w:r>
        <w:t xml:space="preserve">It's common for descriptions of these bush pea varieties to state that they need </w:t>
      </w:r>
      <w:r>
        <w:rPr>
          <w:b/>
        </w:rPr>
        <w:t xml:space="preserve">"minimal" or "no"</w:t>
      </w:r>
      <w:r>
        <w:t xml:space="preserve"> support . This is true compared to pole peas, which can grow over 6 feet tall and require a strong trellis .</w:t>
      </w:r>
    </w:p>
    <w:p>
      <w:r>
        <w:t xml:space="preserve">However, even compact plants can become top-heavy when laden with pods. You might find that providing </w:t>
      </w:r>
      <w:r>
        <w:rPr>
          <w:b/>
        </w:rPr>
        <w:t xml:space="preserve">a few short, twiggy branches or a small pea fence</w:t>
      </w:r>
      <w:r>
        <w:t xml:space="preserve"> (up to 50 cm) is beneficial to keep them from flopping over .</w:t>
      </w:r>
    </w:p>
    <w:p>
      <w:pPr>
        <w:pStyle w:val="Heading3"/>
      </w:pPr>
      <w:r>
        <w:t xml:space="preserve">🌸 Other Bush Legumes: Green Beans</w:t>
      </w:r>
    </w:p>
    <w:p>
      <w:r>
        <w:t xml:space="preserve">If you're open to other legumes, bush varieties of green beans are also excellent space-savers. For example, the </w:t>
      </w:r>
      <w:r>
        <w:rPr>
          <w:b/>
        </w:rPr>
        <w:t xml:space="preserve">'Blue Lake Bush 274'</w:t>
      </w:r>
      <w:r>
        <w:t xml:space="preserve"> bean is a classic that grows in a bush form and does not need a pole or support .</w:t>
      </w:r>
    </w:p>
    <w:p>
      <w:r>
        <w:t xml:space="preserve">I hope this list helps you find the perfect pea for your space! Are you planning to grow them in a container, a raised bed, or directly in the ground?</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vegetables/peas" TargetMode="External"/><Relationship Id="rId101" Type="http://schemas.openxmlformats.org/officeDocument/2006/relationships/hyperlink" Target="https://www.agoramores.com/tags/vegetables" TargetMode="External"/><Relationship Id="rId102" Type="http://schemas.openxmlformats.org/officeDocument/2006/relationships/hyperlink" Target="https://www.agoramores.com/permaculture/vegetables/broccoli" TargetMode="External"/><Relationship Id="rId103" Type="http://schemas.openxmlformats.org/officeDocument/2006/relationships/hyperlink" Target="https://www.agoramores.com/permaculture/vegetables/garlic" TargetMode="External"/><Relationship Id="rId104" Type="http://schemas.openxmlformats.org/officeDocument/2006/relationships/hyperlink" Target="https://www.agoramores.com/permaculture/vegetables/peanuts" TargetMode="External"/><Relationship Id="rId105" Type="http://schemas.openxmlformats.org/officeDocument/2006/relationships/hyperlink" Target="https://www.agoramores.com/permaculture/vegetables/legumes" TargetMode="External"/><Relationship Id="rId106" Type="http://schemas.openxmlformats.org/officeDocument/2006/relationships/hyperlink" Target="https://www.agoramores.com/permaculture/vegetables/cabbage" TargetMode="External"/><Relationship Id="rId107" Type="http://schemas.openxmlformats.org/officeDocument/2006/relationships/hyperlink" Target="https://www.agoramores.com/permaculture/vegetables/paste-tomatoes" TargetMode="External"/><Relationship Id="rId108" Type="http://schemas.openxmlformats.org/officeDocument/2006/relationships/hyperlink" Target="https://www.agoramores.com/tags/growing" TargetMode="External"/><Relationship Id="rId109" Type="http://schemas.openxmlformats.org/officeDocument/2006/relationships/hyperlink" Target="https://www.agoramores.com/permaculture/ornamental/our-gardens" TargetMode="External"/><Relationship Id="rId110" Type="http://schemas.openxmlformats.org/officeDocument/2006/relationships/hyperlink" Target="https://www.agoramores.com/permaculture/livestock/poultry" TargetMode="External"/><Relationship Id="rId111" Type="http://schemas.openxmlformats.org/officeDocument/2006/relationships/hyperlink" Target="https://www.agoramores.com/permaculture/herbs-and-spices/basil" TargetMode="External"/><Relationship Id="rId112" Type="http://schemas.openxmlformats.org/officeDocument/2006/relationships/hyperlink" Target="https://www.agoramores.com/permaculture/livestock/chicken" TargetMode="External"/><Relationship Id="rId113" Type="http://schemas.openxmlformats.org/officeDocument/2006/relationships/hyperlink" Target="https://www.agoramores.com/permaculture/fruit/dried-fruit" TargetMode="External"/><Relationship Id="rId114" Type="http://schemas.openxmlformats.org/officeDocument/2006/relationships/hyperlink" Target="https://www.agoramores.com/permaculture/seeds/sunflower-seeds" TargetMode="External"/><Relationship Id="rId115" Type="http://schemas.openxmlformats.org/officeDocument/2006/relationships/hyperlink" Target="https://www.agoramores.com/half-pint" TargetMode="External"/><Relationship Id="rId116" Type="http://schemas.openxmlformats.org/officeDocument/2006/relationships/hyperlink" Target="https://www.agoramores.com/bernard" TargetMode="External"/><Relationship Id="rId117" Type="http://schemas.openxmlformats.org/officeDocument/2006/relationships/hyperlink" Target="https://www.agoramores.com/meteor" TargetMode="External"/><Relationship Id="rId118" Type="http://schemas.openxmlformats.org/officeDocument/2006/relationships/hyperlink" Target="https://www.agoramores.com/waverex" TargetMode="External"/><Relationship Id="rId119" Type="http://schemas.openxmlformats.org/officeDocument/2006/relationships/hyperlink" Target="https://www.agoramores.com/garden-novella" TargetMode="External"/><Relationship Id="rId120" Type="http://schemas.openxmlformats.org/officeDocument/2006/relationships/hyperlink" Target="https://www.agoramores.com/earlicrop-massey" TargetMode="External"/><Relationship Id="rId121" Type="http://schemas.openxmlformats.org/officeDocument/2006/relationships/hyperlink" Target="https://www.agoramores.com/greenfeas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Peas</dc:title>
  <dc:creator>Agoramores</dc:creator>
  <cp:keywords>growing, vegetables</cp:keywords>
  <dcterms:created xsi:type="dcterms:W3CDTF">2026-08-22T05:36:41Z</dcterms:created>
</cp:coreProperties>
</file>