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Michelin Star</w:t>
      </w:r>
    </w:p>
    <w:p>
      <w:pPr>
        <w:pStyle w:val="Subtitle"/>
      </w:pPr>
      <w:hyperlink r:id="rId100">
        <w:r>
          <w:rPr>
            <w:color w:val="1F4E79"/>
            <w:u w:val="single"/>
          </w:rPr>
          <w:t xml:space="preserve">https://www.agoramores.com/food/business/michelin-star</w:t>
        </w:r>
      </w:hyperlink>
    </w:p>
    <w:p>
      <w:pPr>
        <w:pStyle w:val="Subtitle"/>
      </w:pPr>
      <w:r>
        <w:t xml:space="preserve">Tags: food · food-business · usa</w:t>
      </w:r>
    </w:p>
    <w:p>
      <w:pPr>
        <w:pBdr>
          <w:bottom w:val="single" w:sz="6" w:space="1" w:color="808080"/>
        </w:pBdr>
      </w:pPr>
    </w:p>
    <w:p>
      <w:pPr>
        <w:pStyle w:val="Heading1"/>
      </w:pPr>
      <w:r>
        <w:t xml:space="preserve">Related</w:t>
      </w:r>
    </w:p>
    <w:p>
      <w:pPr>
        <w:pStyle w:val="Heading2"/>
      </w:pPr>
      <w:hyperlink r:id="rId101">
        <w:r>
          <w:rPr>
            <w:color w:val="1F4E79"/>
            <w:u w:val="single"/>
          </w:rPr>
          <w:t xml:space="preserve">usa</w:t>
        </w:r>
      </w:hyperlink>
    </w:p>
    <w:p>
      <w:pPr>
        <w:pStyle w:val="ListParagraph"/>
        <w:numPr>
          <w:ilvl w:val="0"/>
          <w:numId w:val="1"/>
        </w:numPr>
      </w:pPr>
      <w:hyperlink r:id="rId102">
        <w:r>
          <w:rPr>
            <w:color w:val="1F4E79"/>
            <w:u w:val="single"/>
          </w:rPr>
          <w:t xml:space="preserve">colleges</w:t>
        </w:r>
      </w:hyperlink>
    </w:p>
    <w:p>
      <w:pPr>
        <w:pStyle w:val="ListParagraph"/>
        <w:numPr>
          <w:ilvl w:val="0"/>
          <w:numId w:val="1"/>
        </w:numPr>
      </w:pPr>
      <w:hyperlink r:id="rId103">
        <w:r>
          <w:rPr>
            <w:color w:val="1F4E79"/>
            <w:u w:val="single"/>
          </w:rPr>
          <w:t xml:space="preserve">Colorado</w:t>
        </w:r>
      </w:hyperlink>
    </w:p>
    <w:p>
      <w:pPr>
        <w:pStyle w:val="ListParagraph"/>
        <w:numPr>
          <w:ilvl w:val="0"/>
          <w:numId w:val="1"/>
        </w:numPr>
      </w:pPr>
      <w:hyperlink r:id="rId104">
        <w:r>
          <w:rPr>
            <w:color w:val="1F4E79"/>
            <w:u w:val="single"/>
          </w:rPr>
          <w:t xml:space="preserve">New Jersey</w:t>
        </w:r>
      </w:hyperlink>
    </w:p>
    <w:p>
      <w:pPr>
        <w:pStyle w:val="ListParagraph"/>
        <w:numPr>
          <w:ilvl w:val="0"/>
          <w:numId w:val="1"/>
        </w:numPr>
      </w:pPr>
      <w:hyperlink r:id="rId105">
        <w:r>
          <w:rPr>
            <w:color w:val="1F4E79"/>
            <w:u w:val="single"/>
          </w:rPr>
          <w:t xml:space="preserve">Top Ten Restaurants in Ohio</w:t>
        </w:r>
      </w:hyperlink>
    </w:p>
    <w:p>
      <w:pPr>
        <w:pStyle w:val="ListParagraph"/>
        <w:numPr>
          <w:ilvl w:val="0"/>
          <w:numId w:val="1"/>
        </w:numPr>
      </w:pPr>
      <w:hyperlink r:id="rId106">
        <w:r>
          <w:rPr>
            <w:color w:val="1F4E79"/>
            <w:u w:val="single"/>
          </w:rPr>
          <w:t xml:space="preserve">online</w:t>
        </w:r>
      </w:hyperlink>
    </w:p>
    <w:p>
      <w:pPr>
        <w:pStyle w:val="ListParagraph"/>
        <w:numPr>
          <w:ilvl w:val="0"/>
          <w:numId w:val="1"/>
        </w:numPr>
      </w:pPr>
      <w:hyperlink r:id="rId107">
        <w:r>
          <w:rPr>
            <w:color w:val="1F4E79"/>
            <w:u w:val="single"/>
          </w:rPr>
          <w:t xml:space="preserve">Top Ten Restaurants by State</w:t>
        </w:r>
      </w:hyperlink>
    </w:p>
    <w:p>
      <w:pPr>
        <w:pStyle w:val="Heading2"/>
      </w:pPr>
      <w:hyperlink r:id="rId108">
        <w:r>
          <w:rPr>
            <w:color w:val="1F4E79"/>
            <w:u w:val="single"/>
          </w:rPr>
          <w:t xml:space="preserve">food-business</w:t>
        </w:r>
      </w:hyperlink>
    </w:p>
    <w:p>
      <w:pPr>
        <w:pStyle w:val="ListParagraph"/>
        <w:numPr>
          <w:ilvl w:val="0"/>
          <w:numId w:val="1"/>
        </w:numPr>
      </w:pPr>
      <w:hyperlink r:id="rId109">
        <w:r>
          <w:rPr>
            <w:color w:val="1F4E79"/>
            <w:u w:val="single"/>
          </w:rPr>
          <w:t xml:space="preserve">food truck and stands</w:t>
        </w:r>
      </w:hyperlink>
    </w:p>
    <w:p>
      <w:pPr>
        <w:pStyle w:val="ListParagraph"/>
        <w:numPr>
          <w:ilvl w:val="0"/>
          <w:numId w:val="1"/>
        </w:numPr>
      </w:pPr>
      <w:hyperlink r:id="rId110">
        <w:r>
          <w:rPr>
            <w:color w:val="1F4E79"/>
            <w:u w:val="single"/>
          </w:rPr>
          <w:t xml:space="preserve">business</w:t>
        </w:r>
      </w:hyperlink>
    </w:p>
    <w:p>
      <w:pPr>
        <w:pStyle w:val="ListParagraph"/>
        <w:numPr>
          <w:ilvl w:val="0"/>
          <w:numId w:val="1"/>
        </w:numPr>
      </w:pPr>
      <w:hyperlink r:id="rId111">
        <w:r>
          <w:rPr>
            <w:color w:val="1F4E79"/>
            <w:u w:val="single"/>
          </w:rPr>
          <w:t xml:space="preserve">Online Groceries</w:t>
        </w:r>
      </w:hyperlink>
    </w:p>
    <w:p>
      <w:pPr>
        <w:pStyle w:val="ListParagraph"/>
        <w:numPr>
          <w:ilvl w:val="0"/>
          <w:numId w:val="1"/>
        </w:numPr>
      </w:pPr>
      <w:hyperlink r:id="rId112">
        <w:r>
          <w:rPr>
            <w:color w:val="1F4E79"/>
            <w:u w:val="single"/>
          </w:rPr>
          <w:t xml:space="preserve">dining</w:t>
        </w:r>
      </w:hyperlink>
    </w:p>
    <w:p>
      <w:pPr>
        <w:pStyle w:val="ListParagraph"/>
        <w:numPr>
          <w:ilvl w:val="0"/>
          <w:numId w:val="1"/>
        </w:numPr>
      </w:pPr>
      <w:hyperlink r:id="rId113">
        <w:r>
          <w:rPr>
            <w:color w:val="1F4E79"/>
            <w:u w:val="single"/>
          </w:rPr>
          <w:t xml:space="preserve">Cottage Law</w:t>
        </w:r>
      </w:hyperlink>
    </w:p>
    <w:p>
      <w:pPr>
        <w:pStyle w:val="ListParagraph"/>
        <w:numPr>
          <w:ilvl w:val="0"/>
          <w:numId w:val="1"/>
        </w:numPr>
      </w:pPr>
      <w:hyperlink r:id="rId114">
        <w:r>
          <w:rPr>
            <w:color w:val="1F4E79"/>
            <w:u w:val="single"/>
          </w:rPr>
          <w:t xml:space="preserve">Top Ten Pizza Shops in Columbus Ohio</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recipes</w:t>
        </w:r>
      </w:hyperlink>
    </w:p>
    <w:p>
      <w:pPr>
        <w:pStyle w:val="ListParagraph"/>
        <w:numPr>
          <w:ilvl w:val="0"/>
          <w:numId w:val="1"/>
        </w:numPr>
      </w:pPr>
      <w:hyperlink r:id="rId117">
        <w:r>
          <w:rPr>
            <w:color w:val="1F4E79"/>
            <w:u w:val="single"/>
          </w:rPr>
          <w:t xml:space="preserve">cucumber tea sandwiches</w:t>
        </w:r>
      </w:hyperlink>
    </w:p>
    <w:p>
      <w:pPr>
        <w:pStyle w:val="ListParagraph"/>
        <w:numPr>
          <w:ilvl w:val="0"/>
          <w:numId w:val="1"/>
        </w:numPr>
      </w:pPr>
      <w:hyperlink r:id="rId118">
        <w:r>
          <w:rPr>
            <w:color w:val="1F4E79"/>
            <w:u w:val="single"/>
          </w:rPr>
          <w:t xml:space="preserve">bread recipes</w:t>
        </w:r>
      </w:hyperlink>
    </w:p>
    <w:p>
      <w:pPr>
        <w:pStyle w:val="ListParagraph"/>
        <w:numPr>
          <w:ilvl w:val="0"/>
          <w:numId w:val="1"/>
        </w:numPr>
      </w:pPr>
      <w:hyperlink r:id="rId119">
        <w:r>
          <w:rPr>
            <w:color w:val="1F4E79"/>
            <w:u w:val="single"/>
          </w:rPr>
          <w:t xml:space="preserve">cuisines</w:t>
        </w:r>
      </w:hyperlink>
    </w:p>
    <w:p>
      <w:pPr>
        <w:pStyle w:val="ListParagraph"/>
        <w:numPr>
          <w:ilvl w:val="0"/>
          <w:numId w:val="1"/>
        </w:numPr>
      </w:pPr>
      <w:hyperlink r:id="rId120">
        <w:r>
          <w:rPr>
            <w:color w:val="1F4E79"/>
            <w:u w:val="single"/>
          </w:rPr>
          <w:t xml:space="preserve">eating</w:t>
        </w:r>
      </w:hyperlink>
    </w:p>
    <w:p>
      <w:pPr>
        <w:pStyle w:val="ListParagraph"/>
        <w:numPr>
          <w:ilvl w:val="0"/>
          <w:numId w:val="1"/>
        </w:numPr>
      </w:pPr>
      <w:hyperlink r:id="rId121">
        <w:r>
          <w:rPr>
            <w:color w:val="1F4E79"/>
            <w:u w:val="single"/>
          </w:rPr>
          <w:t xml:space="preserve">Columbus Nepali and Bhutan Food</w:t>
        </w:r>
      </w:hyperlink>
    </w:p>
    <w:p>
      <w:pPr>
        <w:pStyle w:val="Heading1"/>
      </w:pPr>
      <w:r>
        <w:t xml:space="preserve">Michelin Star</w:t>
      </w:r>
    </w:p>
    <w:p>
      <w:r>
        <w:t xml:space="preserve">What the MICHELIN Guide actually awards, and where in the United States it awards
anything at all. The star series across this site ranks on these marks, so this
page is the reference the state and country lists point back to.</w:t>
      </w:r>
    </w:p>
    <w:p>
      <w:pPr>
        <w:pStyle w:val="Heading2"/>
      </w:pPr>
      <w:r>
        <w:t xml:space="preserve">The marks, in order of weight</w:t>
      </w:r>
    </w:p>
    <w:tbl>
      <w:tblPr>
        <w:tblStyle w:val="TableGrid"/>
        <w:tblW w:w="0" w:type="auto"/>
      </w:tblPr>
      <w:tblGrid>
        <w:gridCol w:w="2400"/>
        <w:gridCol w:w="2400"/>
      </w:tblGrid>
      <w:tr>
        <w:trPr>
          <w:tblHeader/>
        </w:trPr>
        <w:tc>
          <w:tcPr>
            <w:tcW w:w="2400" w:type="dxa"/>
          </w:tcPr>
          <w:p>
            <w:pPr>
              <w:pStyle w:val="TableText"/>
            </w:pPr>
            <w:r>
              <w:rPr>
                <w:b/>
              </w:rPr>
              <w:t xml:space="preserve">Mark</w:t>
            </w:r>
          </w:p>
        </w:tc>
        <w:tc>
          <w:tcPr>
            <w:tcW w:w="2400" w:type="dxa"/>
          </w:tcPr>
          <w:p>
            <w:pPr>
              <w:pStyle w:val="TableText"/>
            </w:pPr>
            <w:r>
              <w:rPr>
                <w:b/>
              </w:rPr>
              <w:t xml:space="preserve">What it means</w:t>
            </w:r>
          </w:p>
        </w:tc>
      </w:tr>
      <w:tr>
        <w:tc>
          <w:tcPr>
            <w:tcW w:w="2400" w:type="dxa"/>
          </w:tcPr>
          <w:p>
            <w:pPr>
              <w:pStyle w:val="TableText"/>
            </w:pPr>
            <w:r>
              <w:t xml:space="preserve">Three Stars</w:t>
            </w:r>
          </w:p>
        </w:tc>
        <w:tc>
          <w:tcPr>
            <w:tcW w:w="2400" w:type="dxa"/>
          </w:tcPr>
          <w:p>
            <w:pPr>
              <w:pStyle w:val="TableText"/>
            </w:pPr>
            <w:r>
              <w:t xml:space="preserve">Exceptional cuisine, worth a special journey</w:t>
            </w:r>
          </w:p>
        </w:tc>
      </w:tr>
      <w:tr>
        <w:tc>
          <w:tcPr>
            <w:tcW w:w="2400" w:type="dxa"/>
          </w:tcPr>
          <w:p>
            <w:pPr>
              <w:pStyle w:val="TableText"/>
            </w:pPr>
            <w:r>
              <w:t xml:space="preserve">Two Stars</w:t>
            </w:r>
          </w:p>
        </w:tc>
        <w:tc>
          <w:tcPr>
            <w:tcW w:w="2400" w:type="dxa"/>
          </w:tcPr>
          <w:p>
            <w:pPr>
              <w:pStyle w:val="TableText"/>
            </w:pPr>
            <w:r>
              <w:t xml:space="preserve">Excellent cooking, worth a detour</w:t>
            </w:r>
          </w:p>
        </w:tc>
      </w:tr>
      <w:tr>
        <w:tc>
          <w:tcPr>
            <w:tcW w:w="2400" w:type="dxa"/>
          </w:tcPr>
          <w:p>
            <w:pPr>
              <w:pStyle w:val="TableText"/>
            </w:pPr>
            <w:r>
              <w:t xml:space="preserve">One Star</w:t>
            </w:r>
          </w:p>
        </w:tc>
        <w:tc>
          <w:tcPr>
            <w:tcW w:w="2400" w:type="dxa"/>
          </w:tcPr>
          <w:p>
            <w:pPr>
              <w:pStyle w:val="TableText"/>
            </w:pPr>
            <w:r>
              <w:t xml:space="preserve">High-quality cooking, worth a stop</w:t>
            </w:r>
          </w:p>
        </w:tc>
      </w:tr>
      <w:tr>
        <w:tc>
          <w:tcPr>
            <w:tcW w:w="2400" w:type="dxa"/>
          </w:tcPr>
          <w:p>
            <w:pPr>
              <w:pStyle w:val="TableText"/>
            </w:pPr>
            <w:r>
              <w:t xml:space="preserve">Bib Gourmand</w:t>
            </w:r>
          </w:p>
        </w:tc>
        <w:tc>
          <w:tcPr>
            <w:tcW w:w="2400" w:type="dxa"/>
          </w:tcPr>
          <w:p>
            <w:pPr>
              <w:pStyle w:val="TableText"/>
            </w:pPr>
            <w:r>
              <w:t xml:space="preserve">Good quality, good value — not a star</w:t>
            </w:r>
          </w:p>
        </w:tc>
      </w:tr>
      <w:tr>
        <w:tc>
          <w:tcPr>
            <w:tcW w:w="2400" w:type="dxa"/>
          </w:tcPr>
          <w:p>
            <w:pPr>
              <w:pStyle w:val="TableText"/>
            </w:pPr>
            <w:r>
              <w:t xml:space="preserve">Selected</w:t>
            </w:r>
          </w:p>
        </w:tc>
        <w:tc>
          <w:tcPr>
            <w:tcW w:w="2400" w:type="dxa"/>
          </w:tcPr>
          <w:p>
            <w:pPr>
              <w:pStyle w:val="TableText"/>
            </w:pPr>
            <w:r>
              <w:t xml:space="preserve">The inspectors listed it. Not an award</w:t>
            </w:r>
          </w:p>
        </w:tc>
      </w:tr>
      <w:tr>
        <w:tc>
          <w:tcPr>
            <w:tcW w:w="2400" w:type="dxa"/>
          </w:tcPr>
          <w:p>
            <w:pPr>
              <w:pStyle w:val="TableText"/>
            </w:pPr>
            <w:r>
              <w:t xml:space="preserve">Green Star</w:t>
            </w:r>
          </w:p>
        </w:tc>
        <w:tc>
          <w:tcPr>
            <w:tcW w:w="2400" w:type="dxa"/>
          </w:tcPr>
          <w:p>
            <w:pPr>
              <w:pStyle w:val="TableText"/>
            </w:pPr>
            <w:r>
              <w:t xml:space="preserve">Recognition for sustainable practice, awarded alongside the above</w:t>
            </w:r>
          </w:p>
        </w:tc>
      </w:tr>
    </w:tbl>
    <w:p/>
    <w:p>
      <w:r>
        <w:t xml:space="preserve">Only the first three are stars. Bib Gourmand and Selected are frequently reported
as though they were, and a restaurant described as "in the MICHELIN Guide" most
often holds Selected, which certifies only that an inspector visited and listed it.</w:t>
      </w:r>
    </w:p>
    <w:p>
      <w:pPr>
        <w:pStyle w:val="Heading2"/>
      </w:pPr>
      <w:r>
        <w:t xml:space="preserve">Coverage is regional, not national</w:t>
      </w:r>
    </w:p>
    <w:p>
      <w:r>
        <w:t xml:space="preserve">The guide publishes a selection only where it has a destination edition, and those
editions are funded partly by tourism boards. A state outside every edition cannot
hold a star no matter how good its restaurants are, and a state inside one can
still hold none.</w:t>
      </w:r>
    </w:p>
    <w:tbl>
      <w:tblPr>
        <w:tblStyle w:val="TableGrid"/>
        <w:tblW w:w="0" w:type="auto"/>
      </w:tblPr>
      <w:tblGrid>
        <w:gridCol w:w="2400"/>
        <w:gridCol w:w="2400"/>
        <w:gridCol w:w="2400"/>
      </w:tblGrid>
      <w:tr>
        <w:trPr>
          <w:tblHeader/>
        </w:trPr>
        <w:tc>
          <w:tcPr>
            <w:tcW w:w="2400" w:type="dxa"/>
          </w:tcPr>
          <w:p>
            <w:pPr>
              <w:pStyle w:val="TableText"/>
            </w:pPr>
            <w:r>
              <w:rPr>
                <w:b/>
              </w:rPr>
              <w:t xml:space="preserve">Edition</w:t>
            </w:r>
          </w:p>
        </w:tc>
        <w:tc>
          <w:tcPr>
            <w:tcW w:w="2400" w:type="dxa"/>
          </w:tcPr>
          <w:p>
            <w:pPr>
              <w:pStyle w:val="TableText"/>
            </w:pPr>
            <w:r>
              <w:rPr>
                <w:b/>
              </w:rPr>
              <w:t xml:space="preserve">States covered</w:t>
            </w:r>
          </w:p>
        </w:tc>
        <w:tc>
          <w:tcPr>
            <w:tcW w:w="2400" w:type="dxa"/>
          </w:tcPr>
          <w:p>
            <w:pPr>
              <w:pStyle w:val="TableText"/>
            </w:pPr>
            <w:r>
              <w:rPr>
                <w:b/>
              </w:rPr>
              <w:t xml:space="preserve">Status</w:t>
            </w:r>
          </w:p>
        </w:tc>
      </w:tr>
      <w:tr>
        <w:tc>
          <w:tcPr>
            <w:tcW w:w="2400" w:type="dxa"/>
          </w:tcPr>
          <w:p>
            <w:pPr>
              <w:pStyle w:val="TableText"/>
            </w:pPr>
            <w:r>
              <w:t xml:space="preserve">New York City</w:t>
            </w:r>
          </w:p>
        </w:tc>
        <w:tc>
          <w:tcPr>
            <w:tcW w:w="2400" w:type="dxa"/>
          </w:tcPr>
          <w:p>
            <w:pPr>
              <w:pStyle w:val="TableText"/>
            </w:pPr>
            <w:r>
              <w:t xml:space="preserve">New York</w:t>
            </w:r>
          </w:p>
        </w:tc>
        <w:tc>
          <w:tcPr>
            <w:tcW w:w="2400" w:type="dxa"/>
          </w:tcPr>
          <w:p>
            <w:pPr>
              <w:pStyle w:val="TableText"/>
            </w:pPr>
            <w:r>
              <w:t xml:space="preserve">Selecting since 2005</w:t>
            </w:r>
          </w:p>
        </w:tc>
      </w:tr>
      <w:tr>
        <w:tc>
          <w:tcPr>
            <w:tcW w:w="2400" w:type="dxa"/>
          </w:tcPr>
          <w:p>
            <w:pPr>
              <w:pStyle w:val="TableText"/>
            </w:pPr>
            <w:r>
              <w:t xml:space="preserve">Chicago</w:t>
            </w:r>
          </w:p>
        </w:tc>
        <w:tc>
          <w:tcPr>
            <w:tcW w:w="2400" w:type="dxa"/>
          </w:tcPr>
          <w:p>
            <w:pPr>
              <w:pStyle w:val="TableText"/>
            </w:pPr>
            <w:r>
              <w:t xml:space="preserve">Illinois</w:t>
            </w:r>
          </w:p>
        </w:tc>
        <w:tc>
          <w:tcPr>
            <w:tcW w:w="2400" w:type="dxa"/>
          </w:tcPr>
          <w:p>
            <w:pPr>
              <w:pStyle w:val="TableText"/>
            </w:pPr>
            <w:r>
              <w:t xml:space="preserve">Selecting since 2011</w:t>
            </w:r>
          </w:p>
        </w:tc>
      </w:tr>
      <w:tr>
        <w:tc>
          <w:tcPr>
            <w:tcW w:w="2400" w:type="dxa"/>
          </w:tcPr>
          <w:p>
            <w:pPr>
              <w:pStyle w:val="TableText"/>
            </w:pPr>
            <w:r>
              <w:t xml:space="preserve">Washington DC</w:t>
            </w:r>
          </w:p>
        </w:tc>
        <w:tc>
          <w:tcPr>
            <w:tcW w:w="2400" w:type="dxa"/>
          </w:tcPr>
          <w:p>
            <w:pPr>
              <w:pStyle w:val="TableText"/>
            </w:pPr>
            <w:r>
              <w:t xml:space="preserve">District of Columbia, and nearby Maryland and Virginia</w:t>
            </w:r>
          </w:p>
        </w:tc>
        <w:tc>
          <w:tcPr>
            <w:tcW w:w="2400" w:type="dxa"/>
          </w:tcPr>
          <w:p>
            <w:pPr>
              <w:pStyle w:val="TableText"/>
            </w:pPr>
            <w:r>
              <w:t xml:space="preserve">Selecting since 2016</w:t>
            </w:r>
          </w:p>
        </w:tc>
      </w:tr>
      <w:tr>
        <w:tc>
          <w:tcPr>
            <w:tcW w:w="2400" w:type="dxa"/>
          </w:tcPr>
          <w:p>
            <w:pPr>
              <w:pStyle w:val="TableText"/>
            </w:pPr>
            <w:r>
              <w:t xml:space="preserve">California</w:t>
            </w:r>
          </w:p>
        </w:tc>
        <w:tc>
          <w:tcPr>
            <w:tcW w:w="2400" w:type="dxa"/>
          </w:tcPr>
          <w:p>
            <w:pPr>
              <w:pStyle w:val="TableText"/>
            </w:pPr>
            <w:r>
              <w:t xml:space="preserve">California</w:t>
            </w:r>
          </w:p>
        </w:tc>
        <w:tc>
          <w:tcPr>
            <w:tcW w:w="2400" w:type="dxa"/>
          </w:tcPr>
          <w:p>
            <w:pPr>
              <w:pStyle w:val="TableText"/>
            </w:pPr>
            <w:r>
              <w:t xml:space="preserve">Statewide since 2019</w:t>
            </w:r>
          </w:p>
        </w:tc>
      </w:tr>
      <w:tr>
        <w:tc>
          <w:tcPr>
            <w:tcW w:w="2400" w:type="dxa"/>
          </w:tcPr>
          <w:p>
            <w:pPr>
              <w:pStyle w:val="TableText"/>
            </w:pPr>
            <w:r>
              <w:t xml:space="preserve">Florida</w:t>
            </w:r>
          </w:p>
        </w:tc>
        <w:tc>
          <w:tcPr>
            <w:tcW w:w="2400" w:type="dxa"/>
          </w:tcPr>
          <w:p>
            <w:pPr>
              <w:pStyle w:val="TableText"/>
            </w:pPr>
            <w:r>
              <w:t xml:space="preserve">Florida</w:t>
            </w:r>
          </w:p>
        </w:tc>
        <w:tc>
          <w:tcPr>
            <w:tcW w:w="2400" w:type="dxa"/>
          </w:tcPr>
          <w:p>
            <w:pPr>
              <w:pStyle w:val="TableText"/>
            </w:pPr>
            <w:r>
              <w:t xml:space="preserve">Selecting since 2022</w:t>
            </w:r>
          </w:p>
        </w:tc>
      </w:tr>
      <w:tr>
        <w:tc>
          <w:tcPr>
            <w:tcW w:w="2400" w:type="dxa"/>
          </w:tcPr>
          <w:p>
            <w:pPr>
              <w:pStyle w:val="TableText"/>
            </w:pPr>
            <w:r>
              <w:t xml:space="preserve">Colorado</w:t>
            </w:r>
          </w:p>
        </w:tc>
        <w:tc>
          <w:tcPr>
            <w:tcW w:w="2400" w:type="dxa"/>
          </w:tcPr>
          <w:p>
            <w:pPr>
              <w:pStyle w:val="TableText"/>
            </w:pPr>
            <w:r>
              <w:t xml:space="preserve">Colorado</w:t>
            </w:r>
          </w:p>
        </w:tc>
        <w:tc>
          <w:tcPr>
            <w:tcW w:w="2400" w:type="dxa"/>
          </w:tcPr>
          <w:p>
            <w:pPr>
              <w:pStyle w:val="TableText"/>
            </w:pPr>
            <w:r>
              <w:t xml:space="preserve">Selecting since 2023</w:t>
            </w:r>
          </w:p>
        </w:tc>
      </w:tr>
      <w:tr>
        <w:tc>
          <w:tcPr>
            <w:tcW w:w="2400" w:type="dxa"/>
          </w:tcPr>
          <w:p>
            <w:pPr>
              <w:pStyle w:val="TableText"/>
            </w:pPr>
            <w:r>
              <w:t xml:space="preserve">Atlanta</w:t>
            </w:r>
          </w:p>
        </w:tc>
        <w:tc>
          <w:tcPr>
            <w:tcW w:w="2400" w:type="dxa"/>
          </w:tcPr>
          <w:p>
            <w:pPr>
              <w:pStyle w:val="TableText"/>
            </w:pPr>
            <w:r>
              <w:t xml:space="preserve">Georgia</w:t>
            </w:r>
          </w:p>
        </w:tc>
        <w:tc>
          <w:tcPr>
            <w:tcW w:w="2400" w:type="dxa"/>
          </w:tcPr>
          <w:p>
            <w:pPr>
              <w:pStyle w:val="TableText"/>
            </w:pPr>
            <w:r>
              <w:t xml:space="preserve">Selecting since 2023, absorbed into American South</w:t>
            </w:r>
          </w:p>
        </w:tc>
      </w:tr>
      <w:tr>
        <w:tc>
          <w:tcPr>
            <w:tcW w:w="2400" w:type="dxa"/>
          </w:tcPr>
          <w:p>
            <w:pPr>
              <w:pStyle w:val="TableText"/>
            </w:pPr>
            <w:r>
              <w:t xml:space="preserve">Texas</w:t>
            </w:r>
          </w:p>
        </w:tc>
        <w:tc>
          <w:tcPr>
            <w:tcW w:w="2400" w:type="dxa"/>
          </w:tcPr>
          <w:p>
            <w:pPr>
              <w:pStyle w:val="TableText"/>
            </w:pPr>
            <w:r>
              <w:t xml:space="preserve">Texas</w:t>
            </w:r>
          </w:p>
        </w:tc>
        <w:tc>
          <w:tcPr>
            <w:tcW w:w="2400" w:type="dxa"/>
          </w:tcPr>
          <w:p>
            <w:pPr>
              <w:pStyle w:val="TableText"/>
            </w:pPr>
            <w:r>
              <w:t xml:space="preserve">Selecting since 2024</w:t>
            </w:r>
          </w:p>
        </w:tc>
      </w:tr>
      <w:tr>
        <w:tc>
          <w:tcPr>
            <w:tcW w:w="2400" w:type="dxa"/>
          </w:tcPr>
          <w:p>
            <w:pPr>
              <w:pStyle w:val="TableText"/>
            </w:pPr>
            <w:r>
              <w:t xml:space="preserve">Northeast Cities</w:t>
            </w:r>
          </w:p>
        </w:tc>
        <w:tc>
          <w:tcPr>
            <w:tcW w:w="2400" w:type="dxa"/>
          </w:tcPr>
          <w:p>
            <w:pPr>
              <w:pStyle w:val="TableText"/>
            </w:pPr>
            <w:r>
              <w:t xml:space="preserve">Massachusetts, Pennsylvania</w:t>
            </w:r>
          </w:p>
        </w:tc>
        <w:tc>
          <w:tcPr>
            <w:tcW w:w="2400" w:type="dxa"/>
          </w:tcPr>
          <w:p>
            <w:pPr>
              <w:pStyle w:val="TableText"/>
            </w:pPr>
            <w:r>
              <w:t xml:space="preserve">First ceremony 18 November 2025</w:t>
            </w:r>
          </w:p>
        </w:tc>
      </w:tr>
      <w:tr>
        <w:tc>
          <w:tcPr>
            <w:tcW w:w="2400" w:type="dxa"/>
          </w:tcPr>
          <w:p>
            <w:pPr>
              <w:pStyle w:val="TableText"/>
            </w:pPr>
            <w:r>
              <w:t xml:space="preserve">American South</w:t>
            </w:r>
          </w:p>
        </w:tc>
        <w:tc>
          <w:tcPr>
            <w:tcW w:w="2400" w:type="dxa"/>
          </w:tcPr>
          <w:p>
            <w:pPr>
              <w:pStyle w:val="TableText"/>
            </w:pPr>
            <w:r>
              <w:t xml:space="preserve">Alabama, Georgia, Louisiana, Mississippi, North Carolina, South Carolina, Tennessee</w:t>
            </w:r>
          </w:p>
        </w:tc>
        <w:tc>
          <w:tcPr>
            <w:tcW w:w="2400" w:type="dxa"/>
          </w:tcPr>
          <w:p>
            <w:pPr>
              <w:pStyle w:val="TableText"/>
            </w:pPr>
            <w:r>
              <w:t xml:space="preserve">First ceremony 3 November 2025</w:t>
            </w:r>
          </w:p>
        </w:tc>
      </w:tr>
      <w:tr>
        <w:tc>
          <w:tcPr>
            <w:tcW w:w="2400" w:type="dxa"/>
          </w:tcPr>
          <w:p>
            <w:pPr>
              <w:pStyle w:val="TableText"/>
            </w:pPr>
            <w:r>
              <w:t xml:space="preserve">American Southwest</w:t>
            </w:r>
          </w:p>
        </w:tc>
        <w:tc>
          <w:tcPr>
            <w:tcW w:w="2400" w:type="dxa"/>
          </w:tcPr>
          <w:p>
            <w:pPr>
              <w:pStyle w:val="TableText"/>
            </w:pPr>
            <w:r>
              <w:t xml:space="preserve">Arizona, Nevada, New Mexico, Utah</w:t>
            </w:r>
          </w:p>
        </w:tc>
        <w:tc>
          <w:tcPr>
            <w:tcW w:w="2400" w:type="dxa"/>
          </w:tcPr>
          <w:p>
            <w:pPr>
              <w:pStyle w:val="TableText"/>
            </w:pPr>
            <w:r>
              <w:t xml:space="preserve">Announced, first ceremony 26 August 2026</w:t>
            </w:r>
          </w:p>
        </w:tc>
      </w:tr>
      <w:tr>
        <w:tc>
          <w:tcPr>
            <w:tcW w:w="2400" w:type="dxa"/>
          </w:tcPr>
          <w:p>
            <w:pPr>
              <w:pStyle w:val="TableText"/>
            </w:pPr>
            <w:r>
              <w:t xml:space="preserve">American Great Lakes</w:t>
            </w:r>
          </w:p>
        </w:tc>
        <w:tc>
          <w:tcPr>
            <w:tcW w:w="2400" w:type="dxa"/>
          </w:tcPr>
          <w:p>
            <w:pPr>
              <w:pStyle w:val="TableText"/>
            </w:pPr>
            <w:r>
              <w:t xml:space="preserve">Indiana, Michigan, Minnesota, Ohio, Pennsylvania, Wisconsin</w:t>
            </w:r>
          </w:p>
        </w:tc>
        <w:tc>
          <w:tcPr>
            <w:tcW w:w="2400" w:type="dxa"/>
          </w:tcPr>
          <w:p>
            <w:pPr>
              <w:pStyle w:val="TableText"/>
            </w:pPr>
            <w:r>
              <w:t xml:space="preserve">Announced, first ceremony 2027</w:t>
            </w:r>
          </w:p>
        </w:tc>
      </w:tr>
    </w:tbl>
    <w:p/>
    <w:p>
      <w:r>
        <w:t xml:space="preserve">Twenty-four states sit inside an edition. Twenty-six sit outside every one of them.</w:t>
      </w:r>
    </w:p>
    <w:p>
      <w:pPr>
        <w:pStyle w:val="Heading2"/>
      </w:pPr>
      <w:r>
        <w:t xml:space="preserve">Coverage does not mean stars</w:t>
      </w:r>
    </w:p>
    <w:p>
      <w:r>
        <w:t xml:space="preserve">This is the distinction that misleads most often. As of August 2026:</w:t>
      </w:r>
    </w:p>
    <w:p>
      <w:pPr>
        <w:pStyle w:val="ListParagraph"/>
        <w:numPr>
          <w:ilvl w:val="0"/>
          <w:numId w:val="1"/>
        </w:numPr>
      </w:pPr>
      <w:r>
        <w:rPr>
          <w:b/>
        </w:rPr>
        <w:t xml:space="preserve">Alabama</w:t>
      </w:r>
      <w:r>
        <w:t xml:space="preserve"> is covered and holds no star — five Bib Gourmands and ten Selected.</w:t>
      </w:r>
    </w:p>
    <w:p>
      <w:pPr>
        <w:pStyle w:val="ListParagraph"/>
        <w:numPr>
          <w:ilvl w:val="0"/>
          <w:numId w:val="1"/>
        </w:numPr>
      </w:pPr>
      <w:r>
        <w:rPr>
          <w:b/>
        </w:rPr>
        <w:t xml:space="preserve">Mississippi</w:t>
      </w:r>
      <w:r>
        <w:t xml:space="preserve"> is covered and holds no star — two Bib Gourmands and eight Selected.</w:t>
      </w:r>
    </w:p>
    <w:p>
      <w:pPr>
        <w:pStyle w:val="ListParagraph"/>
        <w:numPr>
          <w:ilvl w:val="0"/>
          <w:numId w:val="1"/>
        </w:numPr>
      </w:pPr>
      <w:r>
        <w:rPr>
          <w:b/>
        </w:rPr>
        <w:t xml:space="preserve">Maryland</w:t>
      </w:r>
      <w:r>
        <w:t xml:space="preserve"> is covered through the DC edition and holds no star.</w:t>
      </w:r>
    </w:p>
    <w:p>
      <w:pPr>
        <w:pStyle w:val="ListParagraph"/>
        <w:numPr>
          <w:ilvl w:val="0"/>
          <w:numId w:val="1"/>
        </w:numPr>
      </w:pPr>
      <w:r>
        <w:rPr>
          <w:b/>
        </w:rPr>
        <w:t xml:space="preserve">Massachusetts</w:t>
      </w:r>
      <w:r>
        <w:t xml:space="preserve"> is covered and holds exactly one, 311 Omakase in Boston.</w:t>
      </w:r>
    </w:p>
    <w:p>
      <w:pPr>
        <w:pStyle w:val="ListParagraph"/>
        <w:numPr>
          <w:ilvl w:val="0"/>
          <w:numId w:val="1"/>
        </w:numPr>
      </w:pPr>
      <w:r>
        <w:rPr>
          <w:b/>
        </w:rPr>
        <w:t xml:space="preserve">Arizona, Nevada, New Mexico and Utah</w:t>
      </w:r>
      <w:r>
        <w:t xml:space="preserve"> are covered by an edition that has not
held its first ceremony, so nothing has been awarded yet.</w:t>
      </w:r>
    </w:p>
    <w:p>
      <w:pPr>
        <w:pStyle w:val="ListParagraph"/>
        <w:numPr>
          <w:ilvl w:val="0"/>
          <w:numId w:val="1"/>
        </w:numPr>
      </w:pPr>
      <w:r>
        <w:rPr>
          <w:b/>
        </w:rPr>
        <w:t xml:space="preserve">Indiana, Michigan, Minnesota, Ohio and Wisconsin</w:t>
      </w:r>
      <w:r>
        <w:t xml:space="preserve"> are in the same position
until 2027.</w:t>
      </w:r>
    </w:p>
    <w:p>
      <w:r>
        <w:t xml:space="preserve">Nevada is the sharpest case. MICHELIN published a Las Vegas guide from 2008 to
2010 and then discontinued it. Restaurants there still trade on those stars, but
a star from a discontinued guide is lapsed, not current.</w:t>
      </w:r>
    </w:p>
    <w:p>
      <w:pPr>
        <w:pStyle w:val="Heading2"/>
      </w:pPr>
      <w:r>
        <w:t xml:space="preserve">Ceremonies to watch</w:t>
      </w:r>
    </w:p>
    <w:p>
      <w:pPr>
        <w:pStyle w:val="ListParagraph"/>
        <w:numPr>
          <w:ilvl w:val="0"/>
          <w:numId w:val="1"/>
        </w:numPr>
      </w:pPr>
      <w:r>
        <w:rPr>
          <w:b/>
        </w:rPr>
        <w:t xml:space="preserve">26 August 2026</w:t>
      </w:r>
      <w:r>
        <w:t xml:space="preserve"> — American Southwest, first selection.</w:t>
      </w:r>
    </w:p>
    <w:p>
      <w:pPr>
        <w:pStyle w:val="ListParagraph"/>
        <w:numPr>
          <w:ilvl w:val="0"/>
          <w:numId w:val="1"/>
        </w:numPr>
      </w:pPr>
      <w:r>
        <w:rPr>
          <w:b/>
        </w:rPr>
        <w:t xml:space="preserve">October 2026</w:t>
      </w:r>
      <w:r>
        <w:t xml:space="preserve"> — American South, second selection, in Nashville.</w:t>
      </w:r>
    </w:p>
    <w:p>
      <w:pPr>
        <w:pStyle w:val="ListParagraph"/>
        <w:numPr>
          <w:ilvl w:val="0"/>
          <w:numId w:val="1"/>
        </w:numPr>
      </w:pPr>
      <w:r>
        <w:rPr>
          <w:b/>
        </w:rPr>
        <w:t xml:space="preserve">2027</w:t>
      </w:r>
      <w:r>
        <w:t xml:space="preserve"> — American Great Lakes, first selection.</w:t>
      </w:r>
    </w:p>
    <w:p>
      <w:pPr>
        <w:pStyle w:val="Heading1"/>
      </w:pPr>
      <w:r>
        <w:t xml:space="preserve">Related</w:t>
      </w:r>
    </w:p>
    <w:p>
      <w:pPr>
        <w:pStyle w:val="ListParagraph"/>
        <w:numPr>
          <w:ilvl w:val="0"/>
          <w:numId w:val="1"/>
        </w:numPr>
      </w:pPr>
      <w:hyperlink r:id="rId122">
        <w:r>
          <w:rPr>
            <w:color w:val="1F4E79"/>
            <w:u w:val="single"/>
          </w:rPr>
          <w:t xml:space="preserve">Top Ten Restaurants by State</w:t>
        </w:r>
      </w:hyperlink>
    </w:p>
    <w:p>
      <w:pPr>
        <w:pStyle w:val="ListParagraph"/>
        <w:numPr>
          <w:ilvl w:val="0"/>
          <w:numId w:val="1"/>
        </w:numPr>
      </w:pPr>
      <w:hyperlink r:id="rId123">
        <w:r>
          <w:rPr>
            <w:color w:val="1F4E79"/>
            <w:u w:val="single"/>
          </w:rPr>
          <w:t xml:space="preserve">Top Ten restaurants by Country</w:t>
        </w:r>
      </w:hyperlink>
    </w:p>
    <w:p>
      <w:pPr>
        <w:pStyle w:val="ListParagraph"/>
        <w:numPr>
          <w:ilvl w:val="0"/>
          <w:numId w:val="1"/>
        </w:numPr>
      </w:pPr>
      <w:hyperlink r:id="rId124">
        <w:r>
          <w:rPr>
            <w:color w:val="1F4E79"/>
            <w:u w:val="single"/>
          </w:rPr>
          <w:t xml:space="preserve">Dining</w:t>
        </w:r>
      </w:hyperlink>
    </w:p>
    <w:p>
      <w:pPr>
        <w:pStyle w:val="ListParagraph"/>
        <w:numPr>
          <w:ilvl w:val="0"/>
          <w:numId w:val="1"/>
        </w:numPr>
      </w:pPr>
      <w:hyperlink r:id="rId125">
        <w:r>
          <w:rPr>
            <w:color w:val="1F4E79"/>
            <w:u w:val="single"/>
          </w:rPr>
          <w:t xml:space="preserve">Dining</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business/michelin-star" TargetMode="External"/><Relationship Id="rId101" Type="http://schemas.openxmlformats.org/officeDocument/2006/relationships/hyperlink" Target="https://www.agoramores.com/tags/usa" TargetMode="External"/><Relationship Id="rId102" Type="http://schemas.openxmlformats.org/officeDocument/2006/relationships/hyperlink" Target="https://www.agoramores.com/learning/colleges" TargetMode="External"/><Relationship Id="rId103" Type="http://schemas.openxmlformats.org/officeDocument/2006/relationships/hyperlink" Target="https://www.agoramores.com/places/states/colorado" TargetMode="External"/><Relationship Id="rId104" Type="http://schemas.openxmlformats.org/officeDocument/2006/relationships/hyperlink" Target="https://www.agoramores.com/places/states/new-jersey" TargetMode="External"/><Relationship Id="rId105" Type="http://schemas.openxmlformats.org/officeDocument/2006/relationships/hyperlink" Target="https://www.agoramores.com/food/business/restaurants/top-ten-restaurants-in-ohio" TargetMode="External"/><Relationship Id="rId106" Type="http://schemas.openxmlformats.org/officeDocument/2006/relationships/hyperlink" Target="https://www.agoramores.com/learning/colleges/online" TargetMode="External"/><Relationship Id="rId107" Type="http://schemas.openxmlformats.org/officeDocument/2006/relationships/hyperlink" Target="https://www.agoramores.com/food/business/restaurants/top-ten-restaurants-by-state" TargetMode="External"/><Relationship Id="rId108" Type="http://schemas.openxmlformats.org/officeDocument/2006/relationships/hyperlink" Target="https://www.agoramores.com/tags/food-business" TargetMode="External"/><Relationship Id="rId109" Type="http://schemas.openxmlformats.org/officeDocument/2006/relationships/hyperlink" Target="https://www.agoramores.com/food/business/food-truck-and-stands" TargetMode="External"/><Relationship Id="rId110" Type="http://schemas.openxmlformats.org/officeDocument/2006/relationships/hyperlink" Target="https://www.agoramores.com/food/business" TargetMode="External"/><Relationship Id="rId111" Type="http://schemas.openxmlformats.org/officeDocument/2006/relationships/hyperlink" Target="https://www.agoramores.com/food/business/online-groceries" TargetMode="External"/><Relationship Id="rId112" Type="http://schemas.openxmlformats.org/officeDocument/2006/relationships/hyperlink" Target="https://www.agoramores.com/food/business/dining" TargetMode="External"/><Relationship Id="rId113" Type="http://schemas.openxmlformats.org/officeDocument/2006/relationships/hyperlink" Target="https://www.agoramores.com/food/business/cottage-law" TargetMode="External"/><Relationship Id="rId114" Type="http://schemas.openxmlformats.org/officeDocument/2006/relationships/hyperlink" Target="https://www.agoramores.com/food/business/restaurants/top-ten-pizza-shops-in-columbus-ohio"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recipes" TargetMode="External"/><Relationship Id="rId117" Type="http://schemas.openxmlformats.org/officeDocument/2006/relationships/hyperlink" Target="https://www.agoramores.com/food/recipes/cold-meals/cucumber-tea-sandwiches" TargetMode="External"/><Relationship Id="rId118" Type="http://schemas.openxmlformats.org/officeDocument/2006/relationships/hyperlink" Target="https://www.agoramores.com/food/recipes/by-ingredient/bread-recipes" TargetMode="External"/><Relationship Id="rId119" Type="http://schemas.openxmlformats.org/officeDocument/2006/relationships/hyperlink" Target="https://www.agoramores.com/food/cuisines" TargetMode="External"/><Relationship Id="rId120" Type="http://schemas.openxmlformats.org/officeDocument/2006/relationships/hyperlink" Target="https://www.agoramores.com/food/eating" TargetMode="External"/><Relationship Id="rId121" Type="http://schemas.openxmlformats.org/officeDocument/2006/relationships/hyperlink" Target="https://www.agoramores.com/food/cuisines/columbus-nepali-and-bhutan-food" TargetMode="External"/><Relationship Id="rId122" Type="http://schemas.openxmlformats.org/officeDocument/2006/relationships/hyperlink" Target="https://www.agoramores.com/food/business/restaurants/top-ten-restaurants-by-state" TargetMode="External"/><Relationship Id="rId123" Type="http://schemas.openxmlformats.org/officeDocument/2006/relationships/hyperlink" Target="https://www.agoramores.com/food/business/restaurants/top-ten-restaurants-by-country" TargetMode="External"/><Relationship Id="rId124" Type="http://schemas.openxmlformats.org/officeDocument/2006/relationships/hyperlink" Target="https://www.agoramores.com/food/business/dining" TargetMode="External"/><Relationship Id="rId125" Type="http://schemas.openxmlformats.org/officeDocument/2006/relationships/hyperlink" Target="https://www.agoramores.com/food/business/dining"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Michelin Star</dc:title>
  <dc:creator>Agoramores</dc:creator>
  <cp:keywords>food, food-business, usa</cp:keywords>
  <dcterms:created xsi:type="dcterms:W3CDTF">2026-08-21T01:45:19Z</dcterms:created>
</cp:coreProperties>
</file>