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Central Ohio U Pick Seasons</w:t>
      </w:r>
    </w:p>
    <w:p>
      <w:pPr>
        <w:pStyle w:val="Subtitle"/>
      </w:pPr>
      <w:hyperlink r:id="rId100">
        <w:r>
          <w:rPr>
            <w:color w:val="1F4E79"/>
            <w:u w:val="single"/>
          </w:rPr>
          <w:t xml:space="preserve">https://www.agoramores.com/food/business/central-ohio-u-pick-seasons</w:t>
        </w:r>
      </w:hyperlink>
    </w:p>
    <w:p>
      <w:pPr>
        <w:pStyle w:val="Subtitle"/>
      </w:pPr>
      <w:r>
        <w:t xml:space="preserve">Tags: food · food-business · leisure · ohio</w:t>
      </w:r>
    </w:p>
    <w:p>
      <w:pPr>
        <w:pBdr>
          <w:bottom w:val="single" w:sz="6" w:space="1" w:color="808080"/>
        </w:pBdr>
      </w:pPr>
    </w:p>
    <w:p>
      <w:pPr>
        <w:pStyle w:val="Heading1"/>
      </w:pPr>
      <w:r>
        <w:t xml:space="preserve">Related</w:t>
      </w:r>
    </w:p>
    <w:p>
      <w:pPr>
        <w:pStyle w:val="Heading2"/>
      </w:pPr>
      <w:hyperlink r:id="rId101">
        <w:r>
          <w:rPr>
            <w:color w:val="1F4E79"/>
            <w:u w:val="single"/>
          </w:rPr>
          <w:t xml:space="preserve">ohio</w:t>
        </w:r>
      </w:hyperlink>
    </w:p>
    <w:p>
      <w:pPr>
        <w:pStyle w:val="ListParagraph"/>
        <w:numPr>
          <w:ilvl w:val="0"/>
          <w:numId w:val="1"/>
        </w:numPr>
      </w:pPr>
      <w:hyperlink r:id="rId102">
        <w:r>
          <w:rPr>
            <w:color w:val="1F4E79"/>
            <w:u w:val="single"/>
          </w:rPr>
          <w:t xml:space="preserve">Tracking</w:t>
        </w:r>
      </w:hyperlink>
    </w:p>
    <w:p>
      <w:pPr>
        <w:pStyle w:val="ListParagraph"/>
        <w:numPr>
          <w:ilvl w:val="0"/>
          <w:numId w:val="1"/>
        </w:numPr>
      </w:pPr>
      <w:hyperlink r:id="rId103">
        <w:r>
          <w:rPr>
            <w:color w:val="1F4E79"/>
            <w:u w:val="single"/>
          </w:rPr>
          <w:t xml:space="preserve">Central Ohio U Pick Farms</w:t>
        </w:r>
      </w:hyperlink>
    </w:p>
    <w:p>
      <w:pPr>
        <w:pStyle w:val="ListParagraph"/>
        <w:numPr>
          <w:ilvl w:val="0"/>
          <w:numId w:val="1"/>
        </w:numPr>
      </w:pPr>
      <w:hyperlink r:id="rId104">
        <w:r>
          <w:rPr>
            <w:color w:val="1F4E79"/>
            <w:u w:val="single"/>
          </w:rPr>
          <w:t xml:space="preserve">Columbus Farmers Market Seasons</w:t>
        </w:r>
      </w:hyperlink>
    </w:p>
    <w:p>
      <w:pPr>
        <w:pStyle w:val="ListParagraph"/>
        <w:numPr>
          <w:ilvl w:val="0"/>
          <w:numId w:val="1"/>
        </w:numPr>
      </w:pPr>
      <w:hyperlink r:id="rId105">
        <w:r>
          <w:rPr>
            <w:color w:val="1F4E79"/>
            <w:u w:val="single"/>
          </w:rPr>
          <w:t xml:space="preserve">Broad billed Hummingbird</w:t>
        </w:r>
      </w:hyperlink>
    </w:p>
    <w:p>
      <w:pPr>
        <w:pStyle w:val="ListParagraph"/>
        <w:numPr>
          <w:ilvl w:val="0"/>
          <w:numId w:val="1"/>
        </w:numPr>
      </w:pPr>
      <w:hyperlink r:id="rId106">
        <w:r>
          <w:rPr>
            <w:color w:val="1F4E79"/>
            <w:u w:val="single"/>
          </w:rPr>
          <w:t xml:space="preserve">American Redstart</w:t>
        </w:r>
      </w:hyperlink>
    </w:p>
    <w:p>
      <w:pPr>
        <w:pStyle w:val="ListParagraph"/>
        <w:numPr>
          <w:ilvl w:val="0"/>
          <w:numId w:val="1"/>
        </w:numPr>
      </w:pPr>
      <w:hyperlink r:id="rId107">
        <w:r>
          <w:rPr>
            <w:color w:val="1F4E79"/>
            <w:u w:val="single"/>
          </w:rPr>
          <w:t xml:space="preserve">Barn Swallow</w:t>
        </w:r>
      </w:hyperlink>
    </w:p>
    <w:p>
      <w:pPr>
        <w:pStyle w:val="Heading2"/>
      </w:pPr>
      <w:hyperlink r:id="rId108">
        <w:r>
          <w:rPr>
            <w:color w:val="1F4E79"/>
            <w:u w:val="single"/>
          </w:rPr>
          <w:t xml:space="preserve">leisure</w:t>
        </w:r>
      </w:hyperlink>
    </w:p>
    <w:p>
      <w:pPr>
        <w:pStyle w:val="ListParagraph"/>
        <w:numPr>
          <w:ilvl w:val="0"/>
          <w:numId w:val="1"/>
        </w:numPr>
      </w:pPr>
      <w:hyperlink r:id="rId109">
        <w:r>
          <w:rPr>
            <w:color w:val="1F4E79"/>
            <w:u w:val="single"/>
          </w:rPr>
          <w:t xml:space="preserve">calendar</w:t>
        </w:r>
      </w:hyperlink>
    </w:p>
    <w:p>
      <w:pPr>
        <w:pStyle w:val="ListParagraph"/>
        <w:numPr>
          <w:ilvl w:val="0"/>
          <w:numId w:val="1"/>
        </w:numPr>
      </w:pPr>
      <w:hyperlink r:id="rId110">
        <w:r>
          <w:rPr>
            <w:color w:val="1F4E79"/>
            <w:u w:val="single"/>
          </w:rPr>
          <w:t xml:space="preserve">Perennial Tubers</w:t>
        </w:r>
      </w:hyperlink>
    </w:p>
    <w:p>
      <w:pPr>
        <w:pStyle w:val="ListParagraph"/>
        <w:numPr>
          <w:ilvl w:val="0"/>
          <w:numId w:val="1"/>
        </w:numPr>
      </w:pPr>
      <w:hyperlink r:id="rId111">
        <w:r>
          <w:rPr>
            <w:color w:val="1F4E79"/>
            <w:u w:val="single"/>
          </w:rPr>
          <w:t xml:space="preserve">ohio wild mushroom seasons</w:t>
        </w:r>
      </w:hyperlink>
    </w:p>
    <w:p>
      <w:pPr>
        <w:pStyle w:val="ListParagraph"/>
        <w:numPr>
          <w:ilvl w:val="0"/>
          <w:numId w:val="1"/>
        </w:numPr>
      </w:pPr>
      <w:hyperlink r:id="rId112">
        <w:r>
          <w:rPr>
            <w:color w:val="1F4E79"/>
            <w:u w:val="single"/>
          </w:rPr>
          <w:t xml:space="preserve">Columbus Farmers Markets</w:t>
        </w:r>
      </w:hyperlink>
    </w:p>
    <w:p>
      <w:pPr>
        <w:pStyle w:val="ListParagraph"/>
        <w:numPr>
          <w:ilvl w:val="0"/>
          <w:numId w:val="1"/>
        </w:numPr>
      </w:pPr>
      <w:hyperlink r:id="rId113">
        <w:r>
          <w:rPr>
            <w:color w:val="1F4E79"/>
            <w:u w:val="single"/>
          </w:rPr>
          <w:t xml:space="preserve">transportation</w:t>
        </w:r>
      </w:hyperlink>
    </w:p>
    <w:p>
      <w:pPr>
        <w:pStyle w:val="ListParagraph"/>
        <w:numPr>
          <w:ilvl w:val="0"/>
          <w:numId w:val="1"/>
        </w:numPr>
      </w:pPr>
      <w:hyperlink r:id="rId114">
        <w:r>
          <w:rPr>
            <w:color w:val="1F4E79"/>
            <w:u w:val="single"/>
          </w:rPr>
          <w:t xml:space="preserve">2026 05 14 ascension day</w:t>
        </w:r>
      </w:hyperlink>
    </w:p>
    <w:p>
      <w:pPr>
        <w:pStyle w:val="Heading2"/>
      </w:pPr>
      <w:hyperlink r:id="rId115">
        <w:r>
          <w:rPr>
            <w:color w:val="1F4E79"/>
            <w:u w:val="single"/>
          </w:rPr>
          <w:t xml:space="preserve">food-business</w:t>
        </w:r>
      </w:hyperlink>
    </w:p>
    <w:p>
      <w:pPr>
        <w:pStyle w:val="ListParagraph"/>
        <w:numPr>
          <w:ilvl w:val="0"/>
          <w:numId w:val="1"/>
        </w:numPr>
      </w:pPr>
      <w:hyperlink r:id="rId116">
        <w:r>
          <w:rPr>
            <w:color w:val="1F4E79"/>
            <w:u w:val="single"/>
          </w:rPr>
          <w:t xml:space="preserve">maps</w:t>
        </w:r>
      </w:hyperlink>
    </w:p>
    <w:p>
      <w:pPr>
        <w:pStyle w:val="ListParagraph"/>
        <w:numPr>
          <w:ilvl w:val="0"/>
          <w:numId w:val="1"/>
        </w:numPr>
      </w:pPr>
      <w:hyperlink r:id="rId117">
        <w:r>
          <w:rPr>
            <w:color w:val="1F4E79"/>
            <w:u w:val="single"/>
          </w:rPr>
          <w:t xml:space="preserve">Top Ten Restaurants on the South West Side</w:t>
        </w:r>
      </w:hyperlink>
    </w:p>
    <w:p>
      <w:pPr>
        <w:pStyle w:val="ListParagraph"/>
        <w:numPr>
          <w:ilvl w:val="0"/>
          <w:numId w:val="1"/>
        </w:numPr>
      </w:pPr>
      <w:hyperlink r:id="rId118">
        <w:r>
          <w:rPr>
            <w:color w:val="1F4E79"/>
            <w:u w:val="single"/>
          </w:rPr>
          <w:t xml:space="preserve">Top Ten Restaurants in Ohio</w:t>
        </w:r>
      </w:hyperlink>
    </w:p>
    <w:p>
      <w:pPr>
        <w:pStyle w:val="ListParagraph"/>
        <w:numPr>
          <w:ilvl w:val="0"/>
          <w:numId w:val="1"/>
        </w:numPr>
      </w:pPr>
      <w:hyperlink r:id="rId119">
        <w:r>
          <w:rPr>
            <w:color w:val="1F4E79"/>
            <w:u w:val="single"/>
          </w:rPr>
          <w:t xml:space="preserve">Ghost Kitchen</w:t>
        </w:r>
      </w:hyperlink>
    </w:p>
    <w:p>
      <w:pPr>
        <w:pStyle w:val="ListParagraph"/>
        <w:numPr>
          <w:ilvl w:val="0"/>
          <w:numId w:val="1"/>
        </w:numPr>
      </w:pPr>
      <w:hyperlink r:id="rId120">
        <w:r>
          <w:rPr>
            <w:color w:val="1F4E79"/>
            <w:u w:val="single"/>
          </w:rPr>
          <w:t xml:space="preserve">Cottage Law</w:t>
        </w:r>
      </w:hyperlink>
    </w:p>
    <w:p>
      <w:pPr>
        <w:pStyle w:val="ListParagraph"/>
        <w:numPr>
          <w:ilvl w:val="0"/>
          <w:numId w:val="1"/>
        </w:numPr>
      </w:pPr>
      <w:hyperlink r:id="rId121">
        <w:r>
          <w:rPr>
            <w:color w:val="1F4E79"/>
            <w:u w:val="single"/>
          </w:rPr>
          <w:t xml:space="preserve">food truck and stands</w:t>
        </w:r>
      </w:hyperlink>
    </w:p>
    <w:p>
      <w:pPr>
        <w:pStyle w:val="Heading2"/>
      </w:pPr>
      <w:hyperlink r:id="rId122">
        <w:r>
          <w:rPr>
            <w:color w:val="1F4E79"/>
            <w:u w:val="single"/>
          </w:rPr>
          <w:t xml:space="preserve">food</w:t>
        </w:r>
      </w:hyperlink>
    </w:p>
    <w:p>
      <w:pPr>
        <w:pStyle w:val="ListParagraph"/>
        <w:numPr>
          <w:ilvl w:val="0"/>
          <w:numId w:val="1"/>
        </w:numPr>
      </w:pPr>
      <w:hyperlink r:id="rId123">
        <w:r>
          <w:rPr>
            <w:color w:val="1F4E79"/>
            <w:u w:val="single"/>
          </w:rPr>
          <w:t xml:space="preserve">pies</w:t>
        </w:r>
      </w:hyperlink>
    </w:p>
    <w:p>
      <w:pPr>
        <w:pStyle w:val="ListParagraph"/>
        <w:numPr>
          <w:ilvl w:val="0"/>
          <w:numId w:val="1"/>
        </w:numPr>
      </w:pPr>
      <w:hyperlink r:id="rId124">
        <w:r>
          <w:rPr>
            <w:color w:val="1F4E79"/>
            <w:u w:val="single"/>
          </w:rPr>
          <w:t xml:space="preserve">stroopwafels</w:t>
        </w:r>
      </w:hyperlink>
    </w:p>
    <w:p>
      <w:pPr>
        <w:pStyle w:val="ListParagraph"/>
        <w:numPr>
          <w:ilvl w:val="0"/>
          <w:numId w:val="1"/>
        </w:numPr>
      </w:pPr>
      <w:hyperlink r:id="rId125">
        <w:r>
          <w:rPr>
            <w:color w:val="1F4E79"/>
            <w:u w:val="single"/>
          </w:rPr>
          <w:t xml:space="preserve">shoofly pie</w:t>
        </w:r>
      </w:hyperlink>
    </w:p>
    <w:p>
      <w:pPr>
        <w:pStyle w:val="ListParagraph"/>
        <w:numPr>
          <w:ilvl w:val="0"/>
          <w:numId w:val="1"/>
        </w:numPr>
      </w:pPr>
      <w:hyperlink r:id="rId126">
        <w:r>
          <w:rPr>
            <w:color w:val="1F4E79"/>
            <w:u w:val="single"/>
          </w:rPr>
          <w:t xml:space="preserve">Re hydrated textured soy protein</w:t>
        </w:r>
      </w:hyperlink>
    </w:p>
    <w:p>
      <w:pPr>
        <w:pStyle w:val="ListParagraph"/>
        <w:numPr>
          <w:ilvl w:val="0"/>
          <w:numId w:val="1"/>
        </w:numPr>
      </w:pPr>
      <w:hyperlink r:id="rId127">
        <w:r>
          <w:rPr>
            <w:color w:val="1F4E79"/>
            <w:u w:val="single"/>
          </w:rPr>
          <w:t xml:space="preserve">Cream sauces, milk solids</w:t>
        </w:r>
      </w:hyperlink>
    </w:p>
    <w:p>
      <w:pPr>
        <w:pStyle w:val="ListParagraph"/>
        <w:numPr>
          <w:ilvl w:val="0"/>
          <w:numId w:val="1"/>
        </w:numPr>
      </w:pPr>
      <w:hyperlink r:id="rId128">
        <w:r>
          <w:rPr>
            <w:color w:val="1F4E79"/>
            <w:u w:val="single"/>
          </w:rPr>
          <w:t xml:space="preserve">cakes</w:t>
        </w:r>
      </w:hyperlink>
    </w:p>
    <w:p>
      <w:pPr>
        <w:pStyle w:val="Heading1"/>
      </w:pPr>
      <w:r>
        <w:t xml:space="preserve">Central Ohio U-Pick Seasons</w:t>
      </w:r>
    </w:p>
    <w:p>
      <w:r>
        <w:t xml:space="preserve">Thirty-one crops, one row each, with the weeks each is worth driving out for.
The line marks today.</w:t>
      </w:r>
    </w:p>
    <w:p>
      <w:r>
        <w:rPr>
          <w:b/>
        </w:rPr>
        <w:t xml:space="preserve">The rows are crops, not farms</w:t>
      </w:r>
      <w:r>
        <w:t xml:space="preserve">, and that is the one decision here worth
arguing. One row per farm is the obvious build and it is wrong: a u-pick farm's
season is the union of everything it grows, so Legend Hills Orchard would draw a
bar from the first of June to the end of November and tell you nothing you could
act on. Nobody drives to Utica to visit a farm. They drive because the peaches
are on.</w:t>
      </w:r>
    </w:p>
    <w:p>
      <w:r>
        <w:t xml:space="preserve">So this page answers </w:t>
      </w:r>
      <w:r>
        <w:rPr>
          <w:i/>
        </w:rPr>
        <w:t xml:space="preserve">what can I pick this weekend</w:t>
      </w:r>
      <w:r>
        <w:t xml:space="preserve">, and
</w:t>
      </w:r>
      <w:hyperlink r:id="rId129">
        <w:r>
          <w:rPr>
            <w:b/>
            <w:color w:val="1F4E79"/>
            <w:u w:val="single"/>
          </w:rPr>
          <w:t xml:space="preserve">Central Ohio U-Pick Farms</w:t>
        </w:r>
      </w:hyperlink>
      <w:r>
        <w:t xml:space="preserve"> answers </w:t>
      </w:r>
      <w:r>
        <w:rPr>
          <w:i/>
        </w:rPr>
        <w:t xml:space="preserve">who has it</w:t>
      </w:r>
      <w:r>
        <w:t xml:space="preserve">.</w:t>
      </w:r>
    </w:p>
    <w:p>
      <w:pPr>
        <w:pStyle w:val="Heading2"/>
      </w:pPr>
      <w:r>
        <w:t xml:space="preserve">How to read the chart</w:t>
      </w:r>
    </w:p>
    <w:p>
      <w:r>
        <w:t xml:space="preserve">Each row is a crop and the bar is the window it is worth ringing ahead about.
The pale tick inside the bar is the fortnight the crop is usually at its best —
</w:t>
      </w:r>
      <w:r>
        <w:rPr>
          <w:b/>
        </w:rPr>
        <w:t xml:space="preserve">not</w:t>
      </w:r>
      <w:r>
        <w:t xml:space="preserve"> the fortnight every farm is open. Hover a name for what to expect and
who grows it.</w:t>
      </w:r>
    </w:p>
    <w:p>
      <w:r>
        <w:rPr>
          <w:b/>
        </w:rPr>
        <w:t xml:space="preserve">A u-pick window is looser than anything else charted on this site.</w:t>
      </w:r>
      <w:r>
        <w:t xml:space="preserve"> A market
opens on a date somebody decided in February. A field opens when the fruit is
ready and closes when it has been picked out, which on a good strawberry year is
a fortnight earlier than the farm hoped. Read every bar as </w:t>
      </w:r>
      <w:r>
        <w:rPr>
          <w:i/>
        </w:rPr>
        <w:t xml:space="preserve">this is when it is
worth ringing</w:t>
      </w:r>
      <w:r>
        <w:t xml:space="preserve">, never as </w:t>
      </w:r>
      <w:r>
        <w:rPr>
          <w:i/>
        </w:rPr>
        <w:t xml:space="preserve">this is when it will be open</w:t>
      </w:r>
      <w:r>
        <w:t xml:space="preserve">.</w:t>
      </w:r>
    </w:p>
    <w:p>
      <w:r>
        <w:rPr>
          <w:b/>
        </w:rPr>
        <w:t xml:space="preserve">✦ marks a crop only a handful of farms open to picking.</w:t>
      </w:r>
      <w:r>
        <w:t xml:space="preserve"> It is not a warning
about the crop. It is a warning that the bar is real but the addresses are few,
and that turning up without ringing is how the trip gets wasted.</w:t>
      </w:r>
    </w:p>
    <w:p>
      <w:pPr>
        <w:pStyle w:val="Heading2"/>
      </w:pPr>
      <w:r>
        <w:t xml:space="preserve">2026 is a bad year for cane fruit</w:t>
      </w:r>
    </w:p>
    <w:p>
      <w:r>
        <w:t xml:space="preserve">An extreme cold snap through the winter and spring </w:t>
      </w:r>
      <w:r>
        <w:rPr>
          <w:b/>
        </w:rPr>
        <w:t xml:space="preserve">killed the raspberry and
blackberry crop</w:t>
      </w:r>
      <w:r>
        <w:t xml:space="preserve"> at Lynd Fruit Farm and at the Patch on 37, the two largest
u-pick cane operations in the region. Both have cancelled u-pick berries for the
season; Lynd will still sell picked berries at the market. Lynd's Asian pear day
is in doubt for the same reason.</w:t>
      </w:r>
    </w:p>
    <w:p>
      <w:r>
        <w:t xml:space="preserve">The bars below are the normal central Ohio windows, because that is what a
calendar is for, and the affected rows carry the failure in their notes. A chart
that quietly redrew itself around one bad winter would be worse than useless the
following year.</w:t>
      </w:r>
    </w:p>
    <w:p>
      <w:r>
        <w:rPr>
          <w:b/>
        </w:rPr>
        <w:t xml:space="preserve">Fall raspberries are the exception and the workaround.</w:t>
      </w:r>
      <w:r>
        <w:t xml:space="preserve"> They fruit on
first-year canes, so they can crop in an autumn after a winter that killed the
summer canes. They are the best chance of picking a raspberry in central Ohio
this year.</w:t>
      </w:r>
    </w:p>
    <w:p>
      <w:pPr>
        <w:pStyle w:val="Heading2"/>
      </w:pPr>
      <w:r>
        <w:t xml:space="preserve">Berries and cane fruit</w:t>
      </w:r>
    </w:p>
    <w:p>
      <w:r>
        <w:t xml:space="preserve">The group that starts the picking year and the group that fails first in a hard
winter — strawberries are a crown that overwinters at ground level and came
through 2026; the canes stand up in the wind and did not.</w:t>
      </w:r>
    </w:p>
    <w:tbl>
      <w:tblPr>
        <w:tblStyle w:val="TableGrid"/>
        <w:tblW w:w="0" w:type="auto"/>
      </w:tblPr>
      <w:tblGrid>
        <w:gridCol w:w="2400"/>
        <w:gridCol w:w="2400"/>
        <w:gridCol w:w="2400"/>
      </w:tblGrid>
      <w:tr>
        <w:trPr>
          <w:tblHeader/>
        </w:trPr>
        <w:tc>
          <w:tcPr>
            <w:tcW w:w="2400" w:type="dxa"/>
          </w:tcPr>
          <w:p>
            <w:pPr>
              <w:pStyle w:val="TableText"/>
            </w:pPr>
            <w:r>
              <w:rPr>
                <w:b/>
              </w:rPr>
              <w:t xml:space="preserve">Crop</w:t>
            </w:r>
          </w:p>
        </w:tc>
        <w:tc>
          <w:tcPr>
            <w:tcW w:w="2400" w:type="dxa"/>
          </w:tcPr>
          <w:p>
            <w:pPr>
              <w:pStyle w:val="TableText"/>
            </w:pPr>
            <w:r>
              <w:rPr>
                <w:b/>
              </w:rPr>
              <w:t xml:space="preserve">Window</w:t>
            </w:r>
          </w:p>
        </w:tc>
        <w:tc>
          <w:tcPr>
            <w:tcW w:w="2400" w:type="dxa"/>
          </w:tcPr>
          <w:p>
            <w:pPr>
              <w:pStyle w:val="TableText"/>
            </w:pPr>
            <w:r>
              <w:rPr>
                <w:b/>
              </w:rPr>
              <w:t xml:space="preserve">Usually best</w:t>
            </w:r>
          </w:p>
        </w:tc>
      </w:tr>
      <w:tr>
        <w:tc>
          <w:tcPr>
            <w:tcW w:w="2400" w:type="dxa"/>
          </w:tcPr>
          <w:p>
            <w:pPr>
              <w:pStyle w:val="TableText"/>
            </w:pPr>
            <w:r>
              <w:t xml:space="preserve">Strawberries</w:t>
            </w:r>
          </w:p>
        </w:tc>
        <w:tc>
          <w:tcPr>
            <w:tcW w:w="2400" w:type="dxa"/>
          </w:tcPr>
          <w:p>
            <w:pPr>
              <w:pStyle w:val="TableText"/>
            </w:pPr>
            <w:r>
              <w:t xml:space="preserve">20 May – 25 Jun</w:t>
            </w:r>
          </w:p>
        </w:tc>
        <w:tc>
          <w:tcPr>
            <w:tcW w:w="2400" w:type="dxa"/>
          </w:tcPr>
          <w:p>
            <w:pPr>
              <w:pStyle w:val="TableText"/>
            </w:pPr>
            <w:r>
              <w:t xml:space="preserve">early June</w:t>
            </w:r>
          </w:p>
        </w:tc>
      </w:tr>
      <w:tr>
        <w:tc>
          <w:tcPr>
            <w:tcW w:w="2400" w:type="dxa"/>
          </w:tcPr>
          <w:p>
            <w:pPr>
              <w:pStyle w:val="TableText"/>
            </w:pPr>
            <w:r>
              <w:t xml:space="preserve">Everbearing Strawberries ✦</w:t>
            </w:r>
          </w:p>
        </w:tc>
        <w:tc>
          <w:tcPr>
            <w:tcW w:w="2400" w:type="dxa"/>
          </w:tcPr>
          <w:p>
            <w:pPr>
              <w:pStyle w:val="TableText"/>
            </w:pPr>
            <w:r>
              <w:t xml:space="preserve">20 Jun – 5 Oct</w:t>
            </w:r>
          </w:p>
        </w:tc>
        <w:tc>
          <w:tcPr>
            <w:tcW w:w="2400" w:type="dxa"/>
          </w:tcPr>
          <w:p>
            <w:pPr>
              <w:pStyle w:val="TableText"/>
            </w:pPr>
            <w:r>
              <w:t xml:space="preserve">late August</w:t>
            </w:r>
          </w:p>
        </w:tc>
      </w:tr>
      <w:tr>
        <w:tc>
          <w:tcPr>
            <w:tcW w:w="2400" w:type="dxa"/>
          </w:tcPr>
          <w:p>
            <w:pPr>
              <w:pStyle w:val="TableText"/>
            </w:pPr>
            <w:r>
              <w:t xml:space="preserve">Black Raspberries</w:t>
            </w:r>
          </w:p>
        </w:tc>
        <w:tc>
          <w:tcPr>
            <w:tcW w:w="2400" w:type="dxa"/>
          </w:tcPr>
          <w:p>
            <w:pPr>
              <w:pStyle w:val="TableText"/>
            </w:pPr>
            <w:r>
              <w:t xml:space="preserve">20 Jun – 20 Jul</w:t>
            </w:r>
          </w:p>
        </w:tc>
        <w:tc>
          <w:tcPr>
            <w:tcW w:w="2400" w:type="dxa"/>
          </w:tcPr>
          <w:p>
            <w:pPr>
              <w:pStyle w:val="TableText"/>
            </w:pPr>
            <w:r>
              <w:t xml:space="preserve">early July</w:t>
            </w:r>
          </w:p>
        </w:tc>
      </w:tr>
      <w:tr>
        <w:tc>
          <w:tcPr>
            <w:tcW w:w="2400" w:type="dxa"/>
          </w:tcPr>
          <w:p>
            <w:pPr>
              <w:pStyle w:val="TableText"/>
            </w:pPr>
            <w:r>
              <w:t xml:space="preserve">Summer Red Raspberries</w:t>
            </w:r>
          </w:p>
        </w:tc>
        <w:tc>
          <w:tcPr>
            <w:tcW w:w="2400" w:type="dxa"/>
          </w:tcPr>
          <w:p>
            <w:pPr>
              <w:pStyle w:val="TableText"/>
            </w:pPr>
            <w:r>
              <w:t xml:space="preserve">25 Jun – 25 Jul</w:t>
            </w:r>
          </w:p>
        </w:tc>
        <w:tc>
          <w:tcPr>
            <w:tcW w:w="2400" w:type="dxa"/>
          </w:tcPr>
          <w:p>
            <w:pPr>
              <w:pStyle w:val="TableText"/>
            </w:pPr>
            <w:r>
              <w:t xml:space="preserve">early July</w:t>
            </w:r>
          </w:p>
        </w:tc>
      </w:tr>
      <w:tr>
        <w:tc>
          <w:tcPr>
            <w:tcW w:w="2400" w:type="dxa"/>
          </w:tcPr>
          <w:p>
            <w:pPr>
              <w:pStyle w:val="TableText"/>
            </w:pPr>
            <w:r>
              <w:t xml:space="preserve">Purple Raspberries ✦</w:t>
            </w:r>
          </w:p>
        </w:tc>
        <w:tc>
          <w:tcPr>
            <w:tcW w:w="2400" w:type="dxa"/>
          </w:tcPr>
          <w:p>
            <w:pPr>
              <w:pStyle w:val="TableText"/>
            </w:pPr>
            <w:r>
              <w:t xml:space="preserve">1 – 31 Jul</w:t>
            </w:r>
          </w:p>
        </w:tc>
        <w:tc>
          <w:tcPr>
            <w:tcW w:w="2400" w:type="dxa"/>
          </w:tcPr>
          <w:p>
            <w:pPr>
              <w:pStyle w:val="TableText"/>
            </w:pPr>
            <w:r>
              <w:t xml:space="preserve">mid-July</w:t>
            </w:r>
          </w:p>
        </w:tc>
      </w:tr>
      <w:tr>
        <w:tc>
          <w:tcPr>
            <w:tcW w:w="2400" w:type="dxa"/>
          </w:tcPr>
          <w:p>
            <w:pPr>
              <w:pStyle w:val="TableText"/>
            </w:pPr>
            <w:r>
              <w:t xml:space="preserve">Fall Raspberries</w:t>
            </w:r>
          </w:p>
        </w:tc>
        <w:tc>
          <w:tcPr>
            <w:tcW w:w="2400" w:type="dxa"/>
          </w:tcPr>
          <w:p>
            <w:pPr>
              <w:pStyle w:val="TableText"/>
            </w:pPr>
            <w:r>
              <w:t xml:space="preserve">25 Aug – 15 Oct</w:t>
            </w:r>
          </w:p>
        </w:tc>
        <w:tc>
          <w:tcPr>
            <w:tcW w:w="2400" w:type="dxa"/>
          </w:tcPr>
          <w:p>
            <w:pPr>
              <w:pStyle w:val="TableText"/>
            </w:pPr>
            <w:r>
              <w:t xml:space="preserve">mid-September</w:t>
            </w:r>
          </w:p>
        </w:tc>
      </w:tr>
      <w:tr>
        <w:tc>
          <w:tcPr>
            <w:tcW w:w="2400" w:type="dxa"/>
          </w:tcPr>
          <w:p>
            <w:pPr>
              <w:pStyle w:val="TableText"/>
            </w:pPr>
            <w:r>
              <w:t xml:space="preserve">Blackberries</w:t>
            </w:r>
          </w:p>
        </w:tc>
        <w:tc>
          <w:tcPr>
            <w:tcW w:w="2400" w:type="dxa"/>
          </w:tcPr>
          <w:p>
            <w:pPr>
              <w:pStyle w:val="TableText"/>
            </w:pPr>
            <w:r>
              <w:t xml:space="preserve">1 Jul – 20 Aug</w:t>
            </w:r>
          </w:p>
        </w:tc>
        <w:tc>
          <w:tcPr>
            <w:tcW w:w="2400" w:type="dxa"/>
          </w:tcPr>
          <w:p>
            <w:pPr>
              <w:pStyle w:val="TableText"/>
            </w:pPr>
            <w:r>
              <w:t xml:space="preserve">late July</w:t>
            </w:r>
          </w:p>
        </w:tc>
      </w:tr>
      <w:tr>
        <w:tc>
          <w:tcPr>
            <w:tcW w:w="2400" w:type="dxa"/>
          </w:tcPr>
          <w:p>
            <w:pPr>
              <w:pStyle w:val="TableText"/>
            </w:pPr>
            <w:r>
              <w:t xml:space="preserve">Blueberries</w:t>
            </w:r>
          </w:p>
        </w:tc>
        <w:tc>
          <w:tcPr>
            <w:tcW w:w="2400" w:type="dxa"/>
          </w:tcPr>
          <w:p>
            <w:pPr>
              <w:pStyle w:val="TableText"/>
            </w:pPr>
            <w:r>
              <w:t xml:space="preserve">28 Jun – 25 Aug</w:t>
            </w:r>
          </w:p>
        </w:tc>
        <w:tc>
          <w:tcPr>
            <w:tcW w:w="2400" w:type="dxa"/>
          </w:tcPr>
          <w:p>
            <w:pPr>
              <w:pStyle w:val="TableText"/>
            </w:pPr>
            <w:r>
              <w:t xml:space="preserve">late July</w:t>
            </w:r>
          </w:p>
        </w:tc>
      </w:tr>
      <w:tr>
        <w:tc>
          <w:tcPr>
            <w:tcW w:w="2400" w:type="dxa"/>
          </w:tcPr>
          <w:p>
            <w:pPr>
              <w:pStyle w:val="TableText"/>
            </w:pPr>
            <w:r>
              <w:t xml:space="preserve">Currants ✦</w:t>
            </w:r>
          </w:p>
        </w:tc>
        <w:tc>
          <w:tcPr>
            <w:tcW w:w="2400" w:type="dxa"/>
          </w:tcPr>
          <w:p>
            <w:pPr>
              <w:pStyle w:val="TableText"/>
            </w:pPr>
            <w:r>
              <w:t xml:space="preserve">25 Jun – 25 Jul</w:t>
            </w:r>
          </w:p>
        </w:tc>
        <w:tc>
          <w:tcPr>
            <w:tcW w:w="2400" w:type="dxa"/>
          </w:tcPr>
          <w:p>
            <w:pPr>
              <w:pStyle w:val="TableText"/>
            </w:pPr>
            <w:r>
              <w:t xml:space="preserve">early July</w:t>
            </w:r>
          </w:p>
        </w:tc>
      </w:tr>
      <w:tr>
        <w:tc>
          <w:tcPr>
            <w:tcW w:w="2400" w:type="dxa"/>
          </w:tcPr>
          <w:p>
            <w:pPr>
              <w:pStyle w:val="TableText"/>
            </w:pPr>
            <w:r>
              <w:t xml:space="preserve">Gooseberries ✦</w:t>
            </w:r>
          </w:p>
        </w:tc>
        <w:tc>
          <w:tcPr>
            <w:tcW w:w="2400" w:type="dxa"/>
          </w:tcPr>
          <w:p>
            <w:pPr>
              <w:pStyle w:val="TableText"/>
            </w:pPr>
            <w:r>
              <w:t xml:space="preserve">20 Jun – 20 Jul</w:t>
            </w:r>
          </w:p>
        </w:tc>
        <w:tc>
          <w:tcPr>
            <w:tcW w:w="2400" w:type="dxa"/>
          </w:tcPr>
          <w:p>
            <w:pPr>
              <w:pStyle w:val="TableText"/>
            </w:pPr>
            <w:r>
              <w:t xml:space="preserve">early July</w:t>
            </w:r>
          </w:p>
        </w:tc>
      </w:tr>
      <w:tr>
        <w:tc>
          <w:tcPr>
            <w:tcW w:w="2400" w:type="dxa"/>
          </w:tcPr>
          <w:p>
            <w:pPr>
              <w:pStyle w:val="TableText"/>
            </w:pPr>
            <w:r>
              <w:t xml:space="preserve">Elderberries ✦</w:t>
            </w:r>
          </w:p>
        </w:tc>
        <w:tc>
          <w:tcPr>
            <w:tcW w:w="2400" w:type="dxa"/>
          </w:tcPr>
          <w:p>
            <w:pPr>
              <w:pStyle w:val="TableText"/>
            </w:pPr>
            <w:r>
              <w:t xml:space="preserve">5 Aug – 20 Sep</w:t>
            </w:r>
          </w:p>
        </w:tc>
        <w:tc>
          <w:tcPr>
            <w:tcW w:w="2400" w:type="dxa"/>
          </w:tcPr>
          <w:p>
            <w:pPr>
              <w:pStyle w:val="TableText"/>
            </w:pPr>
            <w:r>
              <w:t xml:space="preserve">late August</w:t>
            </w:r>
          </w:p>
        </w:tc>
      </w:tr>
    </w:tbl>
    <w:p/>
    <w:p>
      <w:r>
        <w:rPr>
          <w:b/>
        </w:rPr>
        <w:t xml:space="preserve">Strawberries</w:t>
      </w:r>
      <w:r>
        <w:t xml:space="preserve"> are the shortest major window on the chart — about five weeks,
and a hot fortnight takes a week off the end. Circle S gives its season as
Memorial Day to Father's Day, which is the local rule of thumb; Legend Hills
publishes 1 to 25 June.</w:t>
      </w:r>
    </w:p>
    <w:p>
      <w:r>
        <w:rPr>
          <w:b/>
        </w:rPr>
        <w:t xml:space="preserve">Blueberries are the best-served crop in the region.</w:t>
      </w:r>
      <w:r>
        <w:t xml:space="preserve"> More farms grow them for
picking here than any other fruit, most of them small and several by appointment
only. Bushes are shoulder height and there are no thorns, which is why it is the
crop to take a four-year-old to.</w:t>
      </w:r>
    </w:p>
    <w:p>
      <w:r>
        <w:rPr>
          <w:b/>
        </w:rPr>
        <w:t xml:space="preserve">Gooseberries have no address behind them at all.</w:t>
      </w:r>
      <w:r>
        <w:t xml:space="preserve"> The row is on the state
availability chart and no central Ohio farm currently advertises picking. Ohio
only lifted its ban on growing </w:t>
      </w:r>
      <w:r>
        <w:rPr>
          <w:i/>
        </w:rPr>
        <w:t xml:space="preserve">Ribes</w:t>
      </w:r>
      <w:r>
        <w:t xml:space="preserve"> in the 1960s, after the white pine
blister rust programme, and the plantings never really came back — which is also
why currants are down to one farm.</w:t>
      </w:r>
    </w:p>
    <w:p>
      <w:pPr>
        <w:pStyle w:val="Heading2"/>
      </w:pPr>
      <w:r>
        <w:t xml:space="preserve">Stone fruit</w:t>
      </w:r>
    </w:p>
    <w:p>
      <w:r>
        <w:t xml:space="preserve">The fewest farms and the shortest windows, and the group an Ohio late frost
takes out most often, because the trees flower in April.</w:t>
      </w:r>
    </w:p>
    <w:tbl>
      <w:tblPr>
        <w:tblStyle w:val="TableGrid"/>
        <w:tblW w:w="0" w:type="auto"/>
      </w:tblPr>
      <w:tblGrid>
        <w:gridCol w:w="2400"/>
        <w:gridCol w:w="2400"/>
        <w:gridCol w:w="2400"/>
      </w:tblGrid>
      <w:tr>
        <w:trPr>
          <w:tblHeader/>
        </w:trPr>
        <w:tc>
          <w:tcPr>
            <w:tcW w:w="2400" w:type="dxa"/>
          </w:tcPr>
          <w:p>
            <w:pPr>
              <w:pStyle w:val="TableText"/>
            </w:pPr>
            <w:r>
              <w:rPr>
                <w:b/>
              </w:rPr>
              <w:t xml:space="preserve">Crop</w:t>
            </w:r>
          </w:p>
        </w:tc>
        <w:tc>
          <w:tcPr>
            <w:tcW w:w="2400" w:type="dxa"/>
          </w:tcPr>
          <w:p>
            <w:pPr>
              <w:pStyle w:val="TableText"/>
            </w:pPr>
            <w:r>
              <w:rPr>
                <w:b/>
              </w:rPr>
              <w:t xml:space="preserve">Window</w:t>
            </w:r>
          </w:p>
        </w:tc>
        <w:tc>
          <w:tcPr>
            <w:tcW w:w="2400" w:type="dxa"/>
          </w:tcPr>
          <w:p>
            <w:pPr>
              <w:pStyle w:val="TableText"/>
            </w:pPr>
            <w:r>
              <w:rPr>
                <w:b/>
              </w:rPr>
              <w:t xml:space="preserve">Usually best</w:t>
            </w:r>
          </w:p>
        </w:tc>
      </w:tr>
      <w:tr>
        <w:tc>
          <w:tcPr>
            <w:tcW w:w="2400" w:type="dxa"/>
          </w:tcPr>
          <w:p>
            <w:pPr>
              <w:pStyle w:val="TableText"/>
            </w:pPr>
            <w:r>
              <w:t xml:space="preserve">Sweet Cherries ✦</w:t>
            </w:r>
          </w:p>
        </w:tc>
        <w:tc>
          <w:tcPr>
            <w:tcW w:w="2400" w:type="dxa"/>
          </w:tcPr>
          <w:p>
            <w:pPr>
              <w:pStyle w:val="TableText"/>
            </w:pPr>
            <w:r>
              <w:t xml:space="preserve">5 Jun – 5 Jul</w:t>
            </w:r>
          </w:p>
        </w:tc>
        <w:tc>
          <w:tcPr>
            <w:tcW w:w="2400" w:type="dxa"/>
          </w:tcPr>
          <w:p>
            <w:pPr>
              <w:pStyle w:val="TableText"/>
            </w:pPr>
            <w:r>
              <w:t xml:space="preserve">mid-June</w:t>
            </w:r>
          </w:p>
        </w:tc>
      </w:tr>
      <w:tr>
        <w:tc>
          <w:tcPr>
            <w:tcW w:w="2400" w:type="dxa"/>
          </w:tcPr>
          <w:p>
            <w:pPr>
              <w:pStyle w:val="TableText"/>
            </w:pPr>
            <w:r>
              <w:t xml:space="preserve">Sour Cherries ✦</w:t>
            </w:r>
          </w:p>
        </w:tc>
        <w:tc>
          <w:tcPr>
            <w:tcW w:w="2400" w:type="dxa"/>
          </w:tcPr>
          <w:p>
            <w:pPr>
              <w:pStyle w:val="TableText"/>
            </w:pPr>
            <w:r>
              <w:t xml:space="preserve">15 Jun – 15 Jul</w:t>
            </w:r>
          </w:p>
        </w:tc>
        <w:tc>
          <w:tcPr>
            <w:tcW w:w="2400" w:type="dxa"/>
          </w:tcPr>
          <w:p>
            <w:pPr>
              <w:pStyle w:val="TableText"/>
            </w:pPr>
            <w:r>
              <w:t xml:space="preserve">late June</w:t>
            </w:r>
          </w:p>
        </w:tc>
      </w:tr>
      <w:tr>
        <w:tc>
          <w:tcPr>
            <w:tcW w:w="2400" w:type="dxa"/>
          </w:tcPr>
          <w:p>
            <w:pPr>
              <w:pStyle w:val="TableText"/>
            </w:pPr>
            <w:r>
              <w:t xml:space="preserve">Peaches</w:t>
            </w:r>
          </w:p>
        </w:tc>
        <w:tc>
          <w:tcPr>
            <w:tcW w:w="2400" w:type="dxa"/>
          </w:tcPr>
          <w:p>
            <w:pPr>
              <w:pStyle w:val="TableText"/>
            </w:pPr>
            <w:r>
              <w:t xml:space="preserve">10 Jul – 10 Sep</w:t>
            </w:r>
          </w:p>
        </w:tc>
        <w:tc>
          <w:tcPr>
            <w:tcW w:w="2400" w:type="dxa"/>
          </w:tcPr>
          <w:p>
            <w:pPr>
              <w:pStyle w:val="TableText"/>
            </w:pPr>
            <w:r>
              <w:t xml:space="preserve">early August</w:t>
            </w:r>
          </w:p>
        </w:tc>
      </w:tr>
      <w:tr>
        <w:tc>
          <w:tcPr>
            <w:tcW w:w="2400" w:type="dxa"/>
          </w:tcPr>
          <w:p>
            <w:pPr>
              <w:pStyle w:val="TableText"/>
            </w:pPr>
            <w:r>
              <w:t xml:space="preserve">Nectarines ✦</w:t>
            </w:r>
          </w:p>
        </w:tc>
        <w:tc>
          <w:tcPr>
            <w:tcW w:w="2400" w:type="dxa"/>
          </w:tcPr>
          <w:p>
            <w:pPr>
              <w:pStyle w:val="TableText"/>
            </w:pPr>
            <w:r>
              <w:t xml:space="preserve">20 Jul – 5 Sep</w:t>
            </w:r>
          </w:p>
        </w:tc>
        <w:tc>
          <w:tcPr>
            <w:tcW w:w="2400" w:type="dxa"/>
          </w:tcPr>
          <w:p>
            <w:pPr>
              <w:pStyle w:val="TableText"/>
            </w:pPr>
            <w:r>
              <w:t xml:space="preserve">mid-August</w:t>
            </w:r>
          </w:p>
        </w:tc>
      </w:tr>
      <w:tr>
        <w:tc>
          <w:tcPr>
            <w:tcW w:w="2400" w:type="dxa"/>
          </w:tcPr>
          <w:p>
            <w:pPr>
              <w:pStyle w:val="TableText"/>
            </w:pPr>
            <w:r>
              <w:t xml:space="preserve">Plums ✦</w:t>
            </w:r>
          </w:p>
        </w:tc>
        <w:tc>
          <w:tcPr>
            <w:tcW w:w="2400" w:type="dxa"/>
          </w:tcPr>
          <w:p>
            <w:pPr>
              <w:pStyle w:val="TableText"/>
            </w:pPr>
            <w:r>
              <w:t xml:space="preserve">1 Aug – 10 Sep</w:t>
            </w:r>
          </w:p>
        </w:tc>
        <w:tc>
          <w:tcPr>
            <w:tcW w:w="2400" w:type="dxa"/>
          </w:tcPr>
          <w:p>
            <w:pPr>
              <w:pStyle w:val="TableText"/>
            </w:pPr>
            <w:r>
              <w:t xml:space="preserve">late August</w:t>
            </w:r>
          </w:p>
        </w:tc>
      </w:tr>
    </w:tbl>
    <w:p/>
    <w:p>
      <w:r>
        <w:rPr>
          <w:b/>
        </w:rPr>
        <w:t xml:space="preserve">Peaches are the best-value picking trip in the region</w:t>
      </w:r>
      <w:r>
        <w:t xml:space="preserve"> — two full months, and
Branstool grows more than twenty varieties that ripen in sequence rather than
together, so early August and early September are different fruit. Legend Hills
publishes 20 July to 5 September, the tightest window any local farm commits to.</w:t>
      </w:r>
    </w:p>
    <w:p>
      <w:r>
        <w:t xml:space="preserve">Sweet cherries are barely a central Ohio crop at all: the orchards are on the
lake plain where the water holds the spring frost off, two hours north of
Columbus.</w:t>
      </w:r>
    </w:p>
    <w:p>
      <w:pPr>
        <w:pStyle w:val="Heading2"/>
      </w:pPr>
      <w:r>
        <w:t xml:space="preserve">Orchard and vine</w:t>
      </w:r>
    </w:p>
    <w:p>
      <w:r>
        <w:t xml:space="preserve">The autumn, and the group that carries the region's u-pick economy.</w:t>
      </w:r>
    </w:p>
    <w:tbl>
      <w:tblPr>
        <w:tblStyle w:val="TableGrid"/>
        <w:tblW w:w="0" w:type="auto"/>
      </w:tblPr>
      <w:tblGrid>
        <w:gridCol w:w="2400"/>
        <w:gridCol w:w="2400"/>
        <w:gridCol w:w="2400"/>
      </w:tblGrid>
      <w:tr>
        <w:trPr>
          <w:tblHeader/>
        </w:trPr>
        <w:tc>
          <w:tcPr>
            <w:tcW w:w="2400" w:type="dxa"/>
          </w:tcPr>
          <w:p>
            <w:pPr>
              <w:pStyle w:val="TableText"/>
            </w:pPr>
            <w:r>
              <w:rPr>
                <w:b/>
              </w:rPr>
              <w:t xml:space="preserve">Crop</w:t>
            </w:r>
          </w:p>
        </w:tc>
        <w:tc>
          <w:tcPr>
            <w:tcW w:w="2400" w:type="dxa"/>
          </w:tcPr>
          <w:p>
            <w:pPr>
              <w:pStyle w:val="TableText"/>
            </w:pPr>
            <w:r>
              <w:rPr>
                <w:b/>
              </w:rPr>
              <w:t xml:space="preserve">Window</w:t>
            </w:r>
          </w:p>
        </w:tc>
        <w:tc>
          <w:tcPr>
            <w:tcW w:w="2400" w:type="dxa"/>
          </w:tcPr>
          <w:p>
            <w:pPr>
              <w:pStyle w:val="TableText"/>
            </w:pPr>
            <w:r>
              <w:rPr>
                <w:b/>
              </w:rPr>
              <w:t xml:space="preserve">Usually best</w:t>
            </w:r>
          </w:p>
        </w:tc>
      </w:tr>
      <w:tr>
        <w:tc>
          <w:tcPr>
            <w:tcW w:w="2400" w:type="dxa"/>
          </w:tcPr>
          <w:p>
            <w:pPr>
              <w:pStyle w:val="TableText"/>
            </w:pPr>
            <w:r>
              <w:t xml:space="preserve">Apples</w:t>
            </w:r>
          </w:p>
        </w:tc>
        <w:tc>
          <w:tcPr>
            <w:tcW w:w="2400" w:type="dxa"/>
          </w:tcPr>
          <w:p>
            <w:pPr>
              <w:pStyle w:val="TableText"/>
            </w:pPr>
            <w:r>
              <w:t xml:space="preserve">15 Aug – 1 Nov</w:t>
            </w:r>
          </w:p>
        </w:tc>
        <w:tc>
          <w:tcPr>
            <w:tcW w:w="2400" w:type="dxa"/>
          </w:tcPr>
          <w:p>
            <w:pPr>
              <w:pStyle w:val="TableText"/>
            </w:pPr>
            <w:r>
              <w:t xml:space="preserve">late September</w:t>
            </w:r>
          </w:p>
        </w:tc>
      </w:tr>
      <w:tr>
        <w:tc>
          <w:tcPr>
            <w:tcW w:w="2400" w:type="dxa"/>
          </w:tcPr>
          <w:p>
            <w:pPr>
              <w:pStyle w:val="TableText"/>
            </w:pPr>
            <w:r>
              <w:t xml:space="preserve">Pears</w:t>
            </w:r>
          </w:p>
        </w:tc>
        <w:tc>
          <w:tcPr>
            <w:tcW w:w="2400" w:type="dxa"/>
          </w:tcPr>
          <w:p>
            <w:pPr>
              <w:pStyle w:val="TableText"/>
            </w:pPr>
            <w:r>
              <w:t xml:space="preserve">25 Aug – 20 Oct</w:t>
            </w:r>
          </w:p>
        </w:tc>
        <w:tc>
          <w:tcPr>
            <w:tcW w:w="2400" w:type="dxa"/>
          </w:tcPr>
          <w:p>
            <w:pPr>
              <w:pStyle w:val="TableText"/>
            </w:pPr>
            <w:r>
              <w:t xml:space="preserve">mid-September</w:t>
            </w:r>
          </w:p>
        </w:tc>
      </w:tr>
      <w:tr>
        <w:tc>
          <w:tcPr>
            <w:tcW w:w="2400" w:type="dxa"/>
          </w:tcPr>
          <w:p>
            <w:pPr>
              <w:pStyle w:val="TableText"/>
            </w:pPr>
            <w:r>
              <w:t xml:space="preserve">Asian Pears ✦</w:t>
            </w:r>
          </w:p>
        </w:tc>
        <w:tc>
          <w:tcPr>
            <w:tcW w:w="2400" w:type="dxa"/>
          </w:tcPr>
          <w:p>
            <w:pPr>
              <w:pStyle w:val="TableText"/>
            </w:pPr>
            <w:r>
              <w:t xml:space="preserve">20 Sep – 10 Oct</w:t>
            </w:r>
          </w:p>
        </w:tc>
        <w:tc>
          <w:tcPr>
            <w:tcW w:w="2400" w:type="dxa"/>
          </w:tcPr>
          <w:p>
            <w:pPr>
              <w:pStyle w:val="TableText"/>
            </w:pPr>
            <w:r>
              <w:t xml:space="preserve">early October</w:t>
            </w:r>
          </w:p>
        </w:tc>
      </w:tr>
      <w:tr>
        <w:tc>
          <w:tcPr>
            <w:tcW w:w="2400" w:type="dxa"/>
          </w:tcPr>
          <w:p>
            <w:pPr>
              <w:pStyle w:val="TableText"/>
            </w:pPr>
            <w:r>
              <w:t xml:space="preserve">Concord Grapes ✦</w:t>
            </w:r>
          </w:p>
        </w:tc>
        <w:tc>
          <w:tcPr>
            <w:tcW w:w="2400" w:type="dxa"/>
          </w:tcPr>
          <w:p>
            <w:pPr>
              <w:pStyle w:val="TableText"/>
            </w:pPr>
            <w:r>
              <w:t xml:space="preserve">25 Aug – 30 Sep</w:t>
            </w:r>
          </w:p>
        </w:tc>
        <w:tc>
          <w:tcPr>
            <w:tcW w:w="2400" w:type="dxa"/>
          </w:tcPr>
          <w:p>
            <w:pPr>
              <w:pStyle w:val="TableText"/>
            </w:pPr>
            <w:r>
              <w:t xml:space="preserve">mid-September</w:t>
            </w:r>
          </w:p>
        </w:tc>
      </w:tr>
      <w:tr>
        <w:tc>
          <w:tcPr>
            <w:tcW w:w="2400" w:type="dxa"/>
          </w:tcPr>
          <w:p>
            <w:pPr>
              <w:pStyle w:val="TableText"/>
            </w:pPr>
            <w:r>
              <w:t xml:space="preserve">Table Grapes ✦</w:t>
            </w:r>
          </w:p>
        </w:tc>
        <w:tc>
          <w:tcPr>
            <w:tcW w:w="2400" w:type="dxa"/>
          </w:tcPr>
          <w:p>
            <w:pPr>
              <w:pStyle w:val="TableText"/>
            </w:pPr>
            <w:r>
              <w:t xml:space="preserve">20 Aug – 10 Oct</w:t>
            </w:r>
          </w:p>
        </w:tc>
        <w:tc>
          <w:tcPr>
            <w:tcW w:w="2400" w:type="dxa"/>
          </w:tcPr>
          <w:p>
            <w:pPr>
              <w:pStyle w:val="TableText"/>
            </w:pPr>
            <w:r>
              <w:t xml:space="preserve">mid-September</w:t>
            </w:r>
          </w:p>
        </w:tc>
      </w:tr>
    </w:tbl>
    <w:p/>
    <w:p>
      <w:r>
        <w:rPr>
          <w:b/>
        </w:rPr>
        <w:t xml:space="preserve">Apples have the longest window and the deepest bench on the chart</w:t>
      </w:r>
      <w:r>
        <w:t xml:space="preserve"> — eleven
weeks and enough farms behind them that a picked-out field on a Saturday is not
the end of the trip. Lynd opens most varieties on Thursdays and runs three
separate orchard blocks, posting which one is open before the weekend, so the
address to drive to is not fixed even at one farm.</w:t>
      </w:r>
    </w:p>
    <w:p>
      <w:r>
        <w:rPr>
          <w:b/>
        </w:rPr>
        <w:t xml:space="preserve">Asian pears are the narrowest window on any chart on this site</w:t>
      </w:r>
      <w:r>
        <w:t xml:space="preserve">: one farm,
and usually one </w:t>
      </w:r>
      <w:r>
        <w:rPr>
          <w:i/>
        </w:rPr>
        <w:t xml:space="preserve">day</w:t>
      </w:r>
      <w:r>
        <w:t xml:space="preserve"> — Lynd runs it as a single-day event in early October.</w:t>
      </w:r>
    </w:p>
    <w:p>
      <w:r>
        <w:t xml:space="preserve">Hocking Hills Orchard keeps 1,700 heirloom apple varieties, 125 pears and a
hundred grapes, which makes one early-autumn visit there three crops rather than
one.</w:t>
      </w:r>
    </w:p>
    <w:p>
      <w:pPr>
        <w:pStyle w:val="Heading2"/>
      </w:pPr>
      <w:r>
        <w:t xml:space="preserve">Field, patch and flowers</w:t>
      </w:r>
    </w:p>
    <w:p>
      <w:r>
        <w:t xml:space="preserve">Everything picked standing up. It opens the year in April and closes it on
Halloween.</w:t>
      </w:r>
    </w:p>
    <w:tbl>
      <w:tblPr>
        <w:tblStyle w:val="TableGrid"/>
        <w:tblW w:w="0" w:type="auto"/>
      </w:tblPr>
      <w:tblGrid>
        <w:gridCol w:w="2400"/>
        <w:gridCol w:w="2400"/>
        <w:gridCol w:w="2400"/>
      </w:tblGrid>
      <w:tr>
        <w:trPr>
          <w:tblHeader/>
        </w:trPr>
        <w:tc>
          <w:tcPr>
            <w:tcW w:w="2400" w:type="dxa"/>
          </w:tcPr>
          <w:p>
            <w:pPr>
              <w:pStyle w:val="TableText"/>
            </w:pPr>
            <w:r>
              <w:rPr>
                <w:b/>
              </w:rPr>
              <w:t xml:space="preserve">Crop</w:t>
            </w:r>
          </w:p>
        </w:tc>
        <w:tc>
          <w:tcPr>
            <w:tcW w:w="2400" w:type="dxa"/>
          </w:tcPr>
          <w:p>
            <w:pPr>
              <w:pStyle w:val="TableText"/>
            </w:pPr>
            <w:r>
              <w:rPr>
                <w:b/>
              </w:rPr>
              <w:t xml:space="preserve">Window</w:t>
            </w:r>
          </w:p>
        </w:tc>
        <w:tc>
          <w:tcPr>
            <w:tcW w:w="2400" w:type="dxa"/>
          </w:tcPr>
          <w:p>
            <w:pPr>
              <w:pStyle w:val="TableText"/>
            </w:pPr>
            <w:r>
              <w:rPr>
                <w:b/>
              </w:rPr>
              <w:t xml:space="preserve">Usually best</w:t>
            </w:r>
          </w:p>
        </w:tc>
      </w:tr>
      <w:tr>
        <w:tc>
          <w:tcPr>
            <w:tcW w:w="2400" w:type="dxa"/>
          </w:tcPr>
          <w:p>
            <w:pPr>
              <w:pStyle w:val="TableText"/>
            </w:pPr>
            <w:r>
              <w:t xml:space="preserve">Asparagus ✦</w:t>
            </w:r>
          </w:p>
        </w:tc>
        <w:tc>
          <w:tcPr>
            <w:tcW w:w="2400" w:type="dxa"/>
          </w:tcPr>
          <w:p>
            <w:pPr>
              <w:pStyle w:val="TableText"/>
            </w:pPr>
            <w:r>
              <w:t xml:space="preserve">15 Apr – 31 May</w:t>
            </w:r>
          </w:p>
        </w:tc>
        <w:tc>
          <w:tcPr>
            <w:tcW w:w="2400" w:type="dxa"/>
          </w:tcPr>
          <w:p>
            <w:pPr>
              <w:pStyle w:val="TableText"/>
            </w:pPr>
            <w:r>
              <w:t xml:space="preserve">early May</w:t>
            </w:r>
          </w:p>
        </w:tc>
      </w:tr>
      <w:tr>
        <w:tc>
          <w:tcPr>
            <w:tcW w:w="2400" w:type="dxa"/>
          </w:tcPr>
          <w:p>
            <w:pPr>
              <w:pStyle w:val="TableText"/>
            </w:pPr>
            <w:r>
              <w:t xml:space="preserve">Rhubarb ✦</w:t>
            </w:r>
          </w:p>
        </w:tc>
        <w:tc>
          <w:tcPr>
            <w:tcW w:w="2400" w:type="dxa"/>
          </w:tcPr>
          <w:p>
            <w:pPr>
              <w:pStyle w:val="TableText"/>
            </w:pPr>
            <w:r>
              <w:t xml:space="preserve">20 Apr – 15 Jun</w:t>
            </w:r>
          </w:p>
        </w:tc>
        <w:tc>
          <w:tcPr>
            <w:tcW w:w="2400" w:type="dxa"/>
          </w:tcPr>
          <w:p>
            <w:pPr>
              <w:pStyle w:val="TableText"/>
            </w:pPr>
            <w:r>
              <w:t xml:space="preserve">mid-May</w:t>
            </w:r>
          </w:p>
        </w:tc>
      </w:tr>
      <w:tr>
        <w:tc>
          <w:tcPr>
            <w:tcW w:w="2400" w:type="dxa"/>
          </w:tcPr>
          <w:p>
            <w:pPr>
              <w:pStyle w:val="TableText"/>
            </w:pPr>
            <w:r>
              <w:t xml:space="preserve">Green Beans</w:t>
            </w:r>
          </w:p>
        </w:tc>
        <w:tc>
          <w:tcPr>
            <w:tcW w:w="2400" w:type="dxa"/>
          </w:tcPr>
          <w:p>
            <w:pPr>
              <w:pStyle w:val="TableText"/>
            </w:pPr>
            <w:r>
              <w:t xml:space="preserve">20 Jun – 15 Sep</w:t>
            </w:r>
          </w:p>
        </w:tc>
        <w:tc>
          <w:tcPr>
            <w:tcW w:w="2400" w:type="dxa"/>
          </w:tcPr>
          <w:p>
            <w:pPr>
              <w:pStyle w:val="TableText"/>
            </w:pPr>
            <w:r>
              <w:t xml:space="preserve">late July</w:t>
            </w:r>
          </w:p>
        </w:tc>
      </w:tr>
      <w:tr>
        <w:tc>
          <w:tcPr>
            <w:tcW w:w="2400" w:type="dxa"/>
          </w:tcPr>
          <w:p>
            <w:pPr>
              <w:pStyle w:val="TableText"/>
            </w:pPr>
            <w:r>
              <w:t xml:space="preserve">Sweet Corn</w:t>
            </w:r>
          </w:p>
        </w:tc>
        <w:tc>
          <w:tcPr>
            <w:tcW w:w="2400" w:type="dxa"/>
          </w:tcPr>
          <w:p>
            <w:pPr>
              <w:pStyle w:val="TableText"/>
            </w:pPr>
            <w:r>
              <w:t xml:space="preserve">10 Jul – 20 Sep</w:t>
            </w:r>
          </w:p>
        </w:tc>
        <w:tc>
          <w:tcPr>
            <w:tcW w:w="2400" w:type="dxa"/>
          </w:tcPr>
          <w:p>
            <w:pPr>
              <w:pStyle w:val="TableText"/>
            </w:pPr>
            <w:r>
              <w:t xml:space="preserve">early August</w:t>
            </w:r>
          </w:p>
        </w:tc>
      </w:tr>
      <w:tr>
        <w:tc>
          <w:tcPr>
            <w:tcW w:w="2400" w:type="dxa"/>
          </w:tcPr>
          <w:p>
            <w:pPr>
              <w:pStyle w:val="TableText"/>
            </w:pPr>
            <w:r>
              <w:t xml:space="preserve">Tomatoes</w:t>
            </w:r>
          </w:p>
        </w:tc>
        <w:tc>
          <w:tcPr>
            <w:tcW w:w="2400" w:type="dxa"/>
          </w:tcPr>
          <w:p>
            <w:pPr>
              <w:pStyle w:val="TableText"/>
            </w:pPr>
            <w:r>
              <w:t xml:space="preserve">15 Jul – 10 Oct</w:t>
            </w:r>
          </w:p>
        </w:tc>
        <w:tc>
          <w:tcPr>
            <w:tcW w:w="2400" w:type="dxa"/>
          </w:tcPr>
          <w:p>
            <w:pPr>
              <w:pStyle w:val="TableText"/>
            </w:pPr>
            <w:r>
              <w:t xml:space="preserve">late August</w:t>
            </w:r>
          </w:p>
        </w:tc>
      </w:tr>
      <w:tr>
        <w:tc>
          <w:tcPr>
            <w:tcW w:w="2400" w:type="dxa"/>
          </w:tcPr>
          <w:p>
            <w:pPr>
              <w:pStyle w:val="TableText"/>
            </w:pPr>
            <w:r>
              <w:t xml:space="preserve">Peppers</w:t>
            </w:r>
          </w:p>
        </w:tc>
        <w:tc>
          <w:tcPr>
            <w:tcW w:w="2400" w:type="dxa"/>
          </w:tcPr>
          <w:p>
            <w:pPr>
              <w:pStyle w:val="TableText"/>
            </w:pPr>
            <w:r>
              <w:t xml:space="preserve">20 Jul – 5 Oct</w:t>
            </w:r>
          </w:p>
        </w:tc>
        <w:tc>
          <w:tcPr>
            <w:tcW w:w="2400" w:type="dxa"/>
          </w:tcPr>
          <w:p>
            <w:pPr>
              <w:pStyle w:val="TableText"/>
            </w:pPr>
            <w:r>
              <w:t xml:space="preserve">late August</w:t>
            </w:r>
          </w:p>
        </w:tc>
      </w:tr>
      <w:tr>
        <w:tc>
          <w:tcPr>
            <w:tcW w:w="2400" w:type="dxa"/>
          </w:tcPr>
          <w:p>
            <w:pPr>
              <w:pStyle w:val="TableText"/>
            </w:pPr>
            <w:r>
              <w:t xml:space="preserve">Sunflowers</w:t>
            </w:r>
          </w:p>
        </w:tc>
        <w:tc>
          <w:tcPr>
            <w:tcW w:w="2400" w:type="dxa"/>
          </w:tcPr>
          <w:p>
            <w:pPr>
              <w:pStyle w:val="TableText"/>
            </w:pPr>
            <w:r>
              <w:t xml:space="preserve">10 Aug – 10 Sep</w:t>
            </w:r>
          </w:p>
        </w:tc>
        <w:tc>
          <w:tcPr>
            <w:tcW w:w="2400" w:type="dxa"/>
          </w:tcPr>
          <w:p>
            <w:pPr>
              <w:pStyle w:val="TableText"/>
            </w:pPr>
            <w:r>
              <w:t xml:space="preserve">late August</w:t>
            </w:r>
          </w:p>
        </w:tc>
      </w:tr>
      <w:tr>
        <w:tc>
          <w:tcPr>
            <w:tcW w:w="2400" w:type="dxa"/>
          </w:tcPr>
          <w:p>
            <w:pPr>
              <w:pStyle w:val="TableText"/>
            </w:pPr>
            <w:r>
              <w:t xml:space="preserve">Zinnias ✦</w:t>
            </w:r>
          </w:p>
        </w:tc>
        <w:tc>
          <w:tcPr>
            <w:tcW w:w="2400" w:type="dxa"/>
          </w:tcPr>
          <w:p>
            <w:pPr>
              <w:pStyle w:val="TableText"/>
            </w:pPr>
            <w:r>
              <w:t xml:space="preserve">15 Jul – 20 Sep</w:t>
            </w:r>
          </w:p>
        </w:tc>
        <w:tc>
          <w:tcPr>
            <w:tcW w:w="2400" w:type="dxa"/>
          </w:tcPr>
          <w:p>
            <w:pPr>
              <w:pStyle w:val="TableText"/>
            </w:pPr>
            <w:r>
              <w:t xml:space="preserve">late August</w:t>
            </w:r>
          </w:p>
        </w:tc>
      </w:tr>
      <w:tr>
        <w:tc>
          <w:tcPr>
            <w:tcW w:w="2400" w:type="dxa"/>
          </w:tcPr>
          <w:p>
            <w:pPr>
              <w:pStyle w:val="TableText"/>
            </w:pPr>
            <w:r>
              <w:t xml:space="preserve">Pumpkins</w:t>
            </w:r>
          </w:p>
        </w:tc>
        <w:tc>
          <w:tcPr>
            <w:tcW w:w="2400" w:type="dxa"/>
          </w:tcPr>
          <w:p>
            <w:pPr>
              <w:pStyle w:val="TableText"/>
            </w:pPr>
            <w:r>
              <w:t xml:space="preserve">15 Sep – 31 Oct</w:t>
            </w:r>
          </w:p>
        </w:tc>
        <w:tc>
          <w:tcPr>
            <w:tcW w:w="2400" w:type="dxa"/>
          </w:tcPr>
          <w:p>
            <w:pPr>
              <w:pStyle w:val="TableText"/>
            </w:pPr>
            <w:r>
              <w:t xml:space="preserve">mid-October</w:t>
            </w:r>
          </w:p>
        </w:tc>
      </w:tr>
      <w:tr>
        <w:tc>
          <w:tcPr>
            <w:tcW w:w="2400" w:type="dxa"/>
          </w:tcPr>
          <w:p>
            <w:pPr>
              <w:pStyle w:val="TableText"/>
            </w:pPr>
            <w:r>
              <w:t xml:space="preserve">Winter Squash ✦</w:t>
            </w:r>
          </w:p>
        </w:tc>
        <w:tc>
          <w:tcPr>
            <w:tcW w:w="2400" w:type="dxa"/>
          </w:tcPr>
          <w:p>
            <w:pPr>
              <w:pStyle w:val="TableText"/>
            </w:pPr>
            <w:r>
              <w:t xml:space="preserve">1 Sep – 15 Nov</w:t>
            </w:r>
          </w:p>
        </w:tc>
        <w:tc>
          <w:tcPr>
            <w:tcW w:w="2400" w:type="dxa"/>
          </w:tcPr>
          <w:p>
            <w:pPr>
              <w:pStyle w:val="TableText"/>
            </w:pPr>
            <w:r>
              <w:t xml:space="preserve">early October</w:t>
            </w:r>
          </w:p>
        </w:tc>
      </w:tr>
    </w:tbl>
    <w:p/>
    <w:p>
      <w:r>
        <w:rPr>
          <w:b/>
        </w:rPr>
        <w:t xml:space="preserve">Asparagus is the first thing pickable in Ohio</w:t>
      </w:r>
      <w:r>
        <w:t xml:space="preserve"> and the row that ends the
ten-week dead season. Cut rather than picked, and the field is walked every
second day for six weeks.</w:t>
      </w:r>
    </w:p>
    <w:p>
      <w:r>
        <w:rPr>
          <w:b/>
        </w:rPr>
        <w:t xml:space="preserve">Rhubarb overlaps the strawberries</w:t>
      </w:r>
      <w:r>
        <w:t xml:space="preserve"> at the end of its window for about a
fortnight. Nobody planned that and it is why the pie exists.</w:t>
      </w:r>
    </w:p>
    <w:p>
      <w:r>
        <w:rPr>
          <w:b/>
        </w:rPr>
        <w:t xml:space="preserve">Sunflowers run as a four-day event at most farms</w:t>
      </w:r>
      <w:r>
        <w:t xml:space="preserve"> — Lynd gave 13 to 16 August
in 2026, the Patch on 37 gave 25 August to 4 September. Blink and the field is
cut. Zinnias are open far longer, because a cutting patch keeps flowering as it
is cut.</w:t>
      </w:r>
    </w:p>
    <w:p>
      <w:r>
        <w:rPr>
          <w:b/>
        </w:rPr>
        <w:t xml:space="preserve">Pumpkins are the busiest six weeks of the central Ohio picking year</w:t>
      </w:r>
      <w:r>
        <w:t xml:space="preserve">, and the
one crop where the field is the smaller half of the trip — wagon rides, mazes,
zip lines and a car park charge. Everywhere closes on Halloween, hard.</w:t>
      </w:r>
    </w:p>
    <w:p>
      <w:r>
        <w:t xml:space="preserve">Winter squash opens a fortnight before the pumpkins and outlasts them by a
fortnight, which makes it the last thing pickable in central Ohio in a normal
year.</w:t>
      </w:r>
    </w:p>
    <w:p>
      <w:pPr>
        <w:pStyle w:val="Heading2"/>
      </w:pPr>
      <w:r>
        <w:t xml:space="preserve">Where the windows come from</w:t>
      </w:r>
    </w:p>
    <w:p>
      <w:r>
        <w:t xml:space="preserve">Two layers, and they disagree on purpose.</w:t>
      </w:r>
    </w:p>
    <w:p>
      <w:r>
        <w:t xml:space="preserve">The base windows are the </w:t>
      </w:r>
      <w:r>
        <w:rPr>
          <w:b/>
        </w:rPr>
        <w:t xml:space="preserve">Ohio Department of Agriculture's Fresh Produce
Harvest Calendar</w:t>
      </w:r>
      <w:r>
        <w:t xml:space="preserve">, published through Ohio Proud — the statewide availability
chart, one row per crop. That chart is </w:t>
      </w:r>
      <w:r>
        <w:rPr>
          <w:i/>
        </w:rPr>
        <w:t xml:space="preserve">availability</w:t>
      </w:r>
      <w:r>
        <w:t xml:space="preserve">, not picking: it runs
wider at both ends because it includes the commercial harvest and the tail a
grower holds in cold storage, and because it covers a state that runs a week
early on the Ohio River and a week late on the lake.</w:t>
      </w:r>
    </w:p>
    <w:p>
      <w:r>
        <w:t xml:space="preserve">Every window above is that row </w:t>
      </w:r>
      <w:r>
        <w:rPr>
          <w:b/>
        </w:rPr>
        <w:t xml:space="preserve">tightened to central Ohio and to the fortnight
the farms actually open the field</w:t>
      </w:r>
      <w:r>
        <w:t xml:space="preserve">, using dates the farms publish themselves —
Legend Hills' strawberries from 1 to 25 June, Lynd's sweetcorn day, the Patch on
37's sunflowers from 25 August. Where a farm's date and the state chart
disagree, the farm's date moves the edge.</w:t>
      </w:r>
    </w:p>
    <w:p>
      <w:r>
        <w:t xml:space="preserve">Berry windows are cross-checked against </w:t>
      </w:r>
      <w:r>
        <w:rPr>
          <w:b/>
        </w:rPr>
        <w:t xml:space="preserve">Ohio State University Extension</w:t>
      </w:r>
      <w:r>
        <w:t xml:space="preserve">,
which is the authority on the one thing the ODA chart does not separate: that
July is the peak month for blackberries and raspberries, and that blueberries
run mid-July into mid-September.</w:t>
      </w:r>
    </w:p>
    <w:p>
      <w:pPr>
        <w:pStyle w:val="Heading2"/>
      </w:pPr>
      <w:r>
        <w:t xml:space="preserve">Related</w:t>
      </w:r>
    </w:p>
    <w:p>
      <w:pPr>
        <w:pStyle w:val="ListParagraph"/>
        <w:numPr>
          <w:ilvl w:val="0"/>
          <w:numId w:val="1"/>
        </w:numPr>
      </w:pPr>
      <w:hyperlink r:id="rId130">
        <w:r>
          <w:rPr>
            <w:color w:val="1F4E79"/>
            <w:u w:val="single"/>
          </w:rPr>
          <w:t xml:space="preserve">Central Ohio U-Pick Farms</w:t>
        </w:r>
      </w:hyperlink>
      <w:r>
        <w:t xml:space="preserve"> — the map, the addresses, and who grows what</w:t>
      </w:r>
    </w:p>
    <w:p>
      <w:pPr>
        <w:pStyle w:val="ListParagraph"/>
        <w:numPr>
          <w:ilvl w:val="0"/>
          <w:numId w:val="1"/>
        </w:numPr>
      </w:pPr>
      <w:hyperlink r:id="rId131">
        <w:r>
          <w:rPr>
            <w:color w:val="1F4E79"/>
            <w:u w:val="single"/>
          </w:rPr>
          <w:t xml:space="preserve">Tracking</w:t>
        </w:r>
      </w:hyperlink>
      <w:r>
        <w:t xml:space="preserve"> — every tracker on the site, all sixty of them</w:t>
      </w:r>
    </w:p>
    <w:p>
      <w:pPr>
        <w:pStyle w:val="ListParagraph"/>
        <w:numPr>
          <w:ilvl w:val="0"/>
          <w:numId w:val="1"/>
        </w:numPr>
      </w:pPr>
      <w:hyperlink r:id="rId132">
        <w:r>
          <w:rPr>
            <w:color w:val="1F4E79"/>
            <w:u w:val="single"/>
          </w:rPr>
          <w:t xml:space="preserve">Columbus Farmers Market Seasons</w:t>
        </w:r>
      </w:hyperlink>
      <w:r>
        <w:t xml:space="preserve"> — the same idea for markets</w:t>
      </w:r>
    </w:p>
    <w:p>
      <w:pPr>
        <w:pStyle w:val="ListParagraph"/>
        <w:numPr>
          <w:ilvl w:val="0"/>
          <w:numId w:val="1"/>
        </w:numPr>
      </w:pPr>
      <w:hyperlink r:id="rId133">
        <w:r>
          <w:rPr>
            <w:color w:val="1F4E79"/>
            <w:u w:val="single"/>
          </w:rPr>
          <w:t xml:space="preserve">Columbus Farmers Markets</w:t>
        </w:r>
      </w:hyperlink>
      <w:r>
        <w:t xml:space="preserve"> — where the markets are</w:t>
      </w:r>
    </w:p>
    <w:p>
      <w:pPr>
        <w:pStyle w:val="ListParagraph"/>
        <w:numPr>
          <w:ilvl w:val="0"/>
          <w:numId w:val="1"/>
        </w:numPr>
      </w:pPr>
      <w:hyperlink r:id="rId134">
        <w:r>
          <w:rPr>
            <w:color w:val="1F4E79"/>
            <w:u w:val="single"/>
          </w:rPr>
          <w:t xml:space="preserve">Ohio Wild Mushroom Seasons</w:t>
        </w:r>
      </w:hyperlink>
      <w:r>
        <w:t xml:space="preserve"> — the wild version of this chart</w:t>
      </w:r>
    </w:p>
    <w:p>
      <w:pPr>
        <w:pStyle w:val="ListParagraph"/>
        <w:numPr>
          <w:ilvl w:val="0"/>
          <w:numId w:val="1"/>
        </w:numPr>
      </w:pPr>
      <w:hyperlink r:id="rId135">
        <w:r>
          <w:rPr>
            <w:color w:val="1F4E79"/>
            <w:u w:val="single"/>
          </w:rPr>
          <w:t xml:space="preserve">Strawberries</w:t>
        </w:r>
      </w:hyperlink>
      <w:r>
        <w:t xml:space="preserve"> · </w:t>
      </w:r>
      <w:hyperlink r:id="rId136">
        <w:r>
          <w:rPr>
            <w:color w:val="1F4E79"/>
            <w:u w:val="single"/>
          </w:rPr>
          <w:t xml:space="preserve">Peppers</w:t>
        </w:r>
      </w:hyperlink>
      <w:r>
        <w:t xml:space="preserve"> · </w:t>
      </w:r>
      <w:hyperlink r:id="rId137">
        <w:r>
          <w:rPr>
            <w:color w:val="1F4E79"/>
            <w:u w:val="single"/>
          </w:rPr>
          <w:t xml:space="preserve">Tomatoes</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business/central-ohio-u-pick-seasons" TargetMode="External"/><Relationship Id="rId101" Type="http://schemas.openxmlformats.org/officeDocument/2006/relationships/hyperlink" Target="https://www.agoramores.com/tags/ohio" TargetMode="External"/><Relationship Id="rId102" Type="http://schemas.openxmlformats.org/officeDocument/2006/relationships/hyperlink" Target="https://www.agoramores.com/tracking" TargetMode="External"/><Relationship Id="rId103" Type="http://schemas.openxmlformats.org/officeDocument/2006/relationships/hyperlink" Target="https://www.agoramores.com/food/business/central-ohio-u-pick-farms" TargetMode="External"/><Relationship Id="rId104" Type="http://schemas.openxmlformats.org/officeDocument/2006/relationships/hyperlink" Target="https://www.agoramores.com/food/business/columbus-farmers-market-seasons" TargetMode="External"/><Relationship Id="rId105" Type="http://schemas.openxmlformats.org/officeDocument/2006/relationships/hyperlink" Target="https://www.agoramores.com/places/nature/ohio-birds/broad-billed-hummingbird" TargetMode="External"/><Relationship Id="rId106" Type="http://schemas.openxmlformats.org/officeDocument/2006/relationships/hyperlink" Target="https://www.agoramores.com/places/nature/ohio-birds/american-redstart" TargetMode="External"/><Relationship Id="rId107" Type="http://schemas.openxmlformats.org/officeDocument/2006/relationships/hyperlink" Target="https://www.agoramores.com/places/nature/ohio-birds/barn-swallow" TargetMode="External"/><Relationship Id="rId108" Type="http://schemas.openxmlformats.org/officeDocument/2006/relationships/hyperlink" Target="https://www.agoramores.com/tags/leisure" TargetMode="External"/><Relationship Id="rId109" Type="http://schemas.openxmlformats.org/officeDocument/2006/relationships/hyperlink" Target="https://www.agoramores.com/calendar" TargetMode="External"/><Relationship Id="rId110" Type="http://schemas.openxmlformats.org/officeDocument/2006/relationships/hyperlink" Target="https://www.agoramores.com/permaculture/vegetables/perennial-tubers" TargetMode="External"/><Relationship Id="rId111" Type="http://schemas.openxmlformats.org/officeDocument/2006/relationships/hyperlink" Target="https://www.agoramores.com/places/nature/ohio-wild-mushroom-seasons" TargetMode="External"/><Relationship Id="rId112" Type="http://schemas.openxmlformats.org/officeDocument/2006/relationships/hyperlink" Target="https://www.agoramores.com/food/business/columbus-farmers-markets" TargetMode="External"/><Relationship Id="rId113" Type="http://schemas.openxmlformats.org/officeDocument/2006/relationships/hyperlink" Target="https://www.agoramores.com/places/transportation" TargetMode="External"/><Relationship Id="rId114" Type="http://schemas.openxmlformats.org/officeDocument/2006/relationships/hyperlink" Target="https://www.agoramores.com/calendar/holidays/2026-05-14-ascension-day" TargetMode="External"/><Relationship Id="rId115" Type="http://schemas.openxmlformats.org/officeDocument/2006/relationships/hyperlink" Target="https://www.agoramores.com/tags/food-business" TargetMode="External"/><Relationship Id="rId116" Type="http://schemas.openxmlformats.org/officeDocument/2006/relationships/hyperlink" Target="https://www.agoramores.com/food/business/maps" TargetMode="External"/><Relationship Id="rId117" Type="http://schemas.openxmlformats.org/officeDocument/2006/relationships/hyperlink" Target="https://www.agoramores.com/food/business/restaurants/top-ten-restaurants-on-the-south-west-side" TargetMode="External"/><Relationship Id="rId118" Type="http://schemas.openxmlformats.org/officeDocument/2006/relationships/hyperlink" Target="https://www.agoramores.com/food/business/restaurants/top-ten-restaurants-in-ohio" TargetMode="External"/><Relationship Id="rId119" Type="http://schemas.openxmlformats.org/officeDocument/2006/relationships/hyperlink" Target="https://www.agoramores.com/food/business/ghost-kitchen" TargetMode="External"/><Relationship Id="rId120" Type="http://schemas.openxmlformats.org/officeDocument/2006/relationships/hyperlink" Target="https://www.agoramores.com/food/business/cottage-law" TargetMode="External"/><Relationship Id="rId121" Type="http://schemas.openxmlformats.org/officeDocument/2006/relationships/hyperlink" Target="https://www.agoramores.com/food/business/food-truck-and-stands" TargetMode="External"/><Relationship Id="rId122" Type="http://schemas.openxmlformats.org/officeDocument/2006/relationships/hyperlink" Target="https://www.agoramores.com/tags/food" TargetMode="External"/><Relationship Id="rId123" Type="http://schemas.openxmlformats.org/officeDocument/2006/relationships/hyperlink" Target="https://www.agoramores.com/food/recipes/pies" TargetMode="External"/><Relationship Id="rId124" Type="http://schemas.openxmlformats.org/officeDocument/2006/relationships/hyperlink" Target="https://www.agoramores.com/food/recipes/cookies/stroopwafels" TargetMode="External"/><Relationship Id="rId125" Type="http://schemas.openxmlformats.org/officeDocument/2006/relationships/hyperlink" Target="https://www.agoramores.com/food/recipes/pies/shoofly-pie" TargetMode="External"/><Relationship Id="rId126" Type="http://schemas.openxmlformats.org/officeDocument/2006/relationships/hyperlink" Target="https://www.agoramores.com/food/ingredients/shelf-stable/re-hydrated-textured-soy-protein" TargetMode="External"/><Relationship Id="rId127" Type="http://schemas.openxmlformats.org/officeDocument/2006/relationships/hyperlink" Target="https://www.agoramores.com/food/ingredients/shelf-stable/cream-sauces-milk-solids" TargetMode="External"/><Relationship Id="rId128" Type="http://schemas.openxmlformats.org/officeDocument/2006/relationships/hyperlink" Target="https://www.agoramores.com/food/recipes/cakes" TargetMode="External"/><Relationship Id="rId129" Type="http://schemas.openxmlformats.org/officeDocument/2006/relationships/hyperlink" Target="https://www.agoramores.com/food/business/central-ohio-u-pick-farms" TargetMode="External"/><Relationship Id="rId130" Type="http://schemas.openxmlformats.org/officeDocument/2006/relationships/hyperlink" Target="https://www.agoramores.com/food/business/central-ohio-u-pick-farms" TargetMode="External"/><Relationship Id="rId131" Type="http://schemas.openxmlformats.org/officeDocument/2006/relationships/hyperlink" Target="https://www.agoramores.com/tracking" TargetMode="External"/><Relationship Id="rId132" Type="http://schemas.openxmlformats.org/officeDocument/2006/relationships/hyperlink" Target="https://www.agoramores.com/food/business/columbus-farmers-market-seasons" TargetMode="External"/><Relationship Id="rId133" Type="http://schemas.openxmlformats.org/officeDocument/2006/relationships/hyperlink" Target="https://www.agoramores.com/food/business/columbus-farmers-markets" TargetMode="External"/><Relationship Id="rId134" Type="http://schemas.openxmlformats.org/officeDocument/2006/relationships/hyperlink" Target="https://www.agoramores.com/places/nature/ohio-wild-mushroom-seasons" TargetMode="External"/><Relationship Id="rId135" Type="http://schemas.openxmlformats.org/officeDocument/2006/relationships/hyperlink" Target="https://www.agoramores.com/permaculture/fruit/strawberries" TargetMode="External"/><Relationship Id="rId136" Type="http://schemas.openxmlformats.org/officeDocument/2006/relationships/hyperlink" Target="https://www.agoramores.com/permaculture/vegetables/peppers" TargetMode="External"/><Relationship Id="rId137" Type="http://schemas.openxmlformats.org/officeDocument/2006/relationships/hyperlink" Target="https://www.agoramores.com/permaculture/fruit/tomatoe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Central Ohio U Pick Seasons</dc:title>
  <dc:creator>Agoramores</dc:creator>
  <cp:keywords>food, food-business, leisure, ohio</cp:keywords>
  <dcterms:created xsi:type="dcterms:W3CDTF">2026-08-24T17:26:25Z</dcterms:created>
</cp:coreProperties>
</file>