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vedic</w:t>
      </w:r>
    </w:p>
    <w:p>
      <w:pPr>
        <w:pStyle w:val="Subtitle"/>
      </w:pPr>
      <w:hyperlink r:id="rId100">
        <w:r>
          <w:rPr>
            <w:color w:val="1F4E79"/>
            <w:u w:val="single"/>
          </w:rPr>
          <w:t xml:space="preserve">https://www.agoramores.com/culture/zodiac/vedic/portal</w:t>
        </w:r>
      </w:hyperlink>
    </w:p>
    <w:p>
      <w:pPr>
        <w:pStyle w:val="Subtitle"/>
      </w:pPr>
      <w:r>
        <w:t xml:space="preserve">Tags: culture · zodiac · vedic-astrology · hinduism · jyotisha</w:t>
      </w:r>
    </w:p>
    <w:p>
      <w:pPr>
        <w:pBdr>
          <w:bottom w:val="single" w:sz="6" w:space="1" w:color="808080"/>
        </w:pBdr>
      </w:pPr>
    </w:p>
    <w:p>
      <w:pPr>
        <w:pStyle w:val="Heading1"/>
      </w:pPr>
      <w:r>
        <w:t xml:space="preserve">Vedic Rashis</w:t>
      </w:r>
    </w:p>
    <w:p>
      <w:r>
        <w:t xml:space="preserve">Jyotisha (ज्योतिष, "the science of light") is the astral discipline of the Indian tradition, and it is not a magazine column. It is counted among the six </w:t>
      </w:r>
      <w:r>
        <w:rPr>
          <w:b/>
        </w:rPr>
        <w:t xml:space="preserve">Vedangas</w:t>
      </w:r>
      <w:r>
        <w:t xml:space="preserve"> — the "limbs of the Veda", the auxiliary sciences a student needed in order to use the Veda correctly — and it is conventionally called the </w:t>
      </w:r>
      <w:r>
        <w:rPr>
          <w:i/>
        </w:rPr>
        <w:t xml:space="preserve">eye</w:t>
      </w:r>
      <w:r>
        <w:t xml:space="preserve"> of the Veda, the limb by which ritual finds its hour. Its twelve signs are the </w:t>
      </w:r>
      <w:r>
        <w:rPr>
          <w:b/>
        </w:rPr>
        <w:t xml:space="preserve">rashis</w:t>
      </w:r>
      <w:r>
        <w:t xml:space="preserve"> (राशि, "heaps" or "portions"), each a 30-degree slice of the ecliptic.</w:t>
      </w:r>
    </w:p>
    <w:p>
      <w:r>
        <w:t xml:space="preserve">The decisive difference from the Western zodiac is that Jyotisha is </w:t>
      </w:r>
      <w:r>
        <w:rPr>
          <w:b/>
        </w:rPr>
        <w:t xml:space="preserve">sidereal</w:t>
      </w:r>
      <w:r>
        <w:t xml:space="preserve">. Its zero point is fixed to the stars rather than to the March equinox, so the signs do not drift away from the constellations they are named for. The equinox does drift — about one degree every 72 years — which is why the two systems have pulled roughly 24 degrees apart, and why a person born in the Western Aries is usually a Vedic Meena or an early Mesha.</w:t>
      </w:r>
    </w:p>
    <w:p>
      <w:pPr>
        <w:pStyle w:val="Heading2"/>
      </w:pPr>
      <w:r>
        <w:t xml:space="preserve">The invention calendar</w:t>
      </w:r>
    </w:p>
    <w:p>
      <w:r>
        <w:t xml:space="preserve">Indian chronology is genuinely contested. The ranges below are the honest ones; where scholars disagree, that is said rather than smoothed over.</w:t>
      </w:r>
    </w:p>
    <w:tbl>
      <w:tblPr>
        <w:tblStyle w:val="TableGrid"/>
        <w:tblW w:w="0" w:type="auto"/>
      </w:tblPr>
      <w:tblGrid>
        <w:gridCol w:w="2400"/>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c>
          <w:tcPr>
            <w:tcW w:w="2400" w:type="dxa"/>
          </w:tcPr>
          <w:p>
            <w:pPr>
              <w:pStyle w:val="TableText"/>
            </w:pPr>
            <w:r>
              <w:rPr>
                <w:b/>
              </w:rPr>
              <w:t xml:space="preserve">Note</w:t>
            </w:r>
          </w:p>
        </w:tc>
      </w:tr>
      <w:tr>
        <w:tc>
          <w:tcPr>
            <w:tcW w:w="2400" w:type="dxa"/>
          </w:tcPr>
          <w:p>
            <w:pPr>
              <w:pStyle w:val="TableText"/>
            </w:pPr>
            <w:r>
              <w:t xml:space="preserve">c. 1500–1200 BCE</w:t>
            </w:r>
          </w:p>
        </w:tc>
        <w:tc>
          <w:tcPr>
            <w:tcW w:w="2400" w:type="dxa"/>
          </w:tcPr>
          <w:p>
            <w:pPr>
              <w:pStyle w:val="TableText"/>
            </w:pPr>
            <w:r>
              <w:t xml:space="preserve">Rigvedic star references</w:t>
            </w:r>
          </w:p>
        </w:tc>
        <w:tc>
          <w:tcPr>
            <w:tcW w:w="2400" w:type="dxa"/>
          </w:tcPr>
          <w:p>
            <w:pPr>
              <w:pStyle w:val="TableText"/>
            </w:pPr>
            <w:r>
              <w:t xml:space="preserve">The Rigveda names stars and lunar stations in passing (the Krittikas, Tishya) but has no twelve-sign zodiac. Even the samhita's own date is disputed.</w:t>
            </w:r>
          </w:p>
        </w:tc>
      </w:tr>
      <w:tr>
        <w:tc>
          <w:tcPr>
            <w:tcW w:w="2400" w:type="dxa"/>
          </w:tcPr>
          <w:p>
            <w:pPr>
              <w:pStyle w:val="TableText"/>
            </w:pPr>
            <w:r>
              <w:t xml:space="preserve">c. 1200–900 BCE</w:t>
            </w:r>
          </w:p>
        </w:tc>
        <w:tc>
          <w:tcPr>
            <w:tcW w:w="2400" w:type="dxa"/>
          </w:tcPr>
          <w:p>
            <w:pPr>
              <w:pStyle w:val="TableText"/>
            </w:pPr>
            <w:r>
              <w:t xml:space="preserve">Nakshatra lists in the Yajurveda and Atharvaveda</w:t>
            </w:r>
          </w:p>
        </w:tc>
        <w:tc>
          <w:tcPr>
            <w:tcW w:w="2400" w:type="dxa"/>
          </w:tcPr>
          <w:p>
            <w:pPr>
              <w:pStyle w:val="TableText"/>
            </w:pPr>
            <w:r>
              <w:t xml:space="preserve">The Taittiriya Samhita and the Nakshatra Sukta of the Atharvaveda give ordered lists of the lunar mansions — 27, or 28 with Abhijit. This is the older Indian sky-division, attested centuries before the rashis.</w:t>
            </w:r>
          </w:p>
        </w:tc>
      </w:tr>
      <w:tr>
        <w:tc>
          <w:tcPr>
            <w:tcW w:w="2400" w:type="dxa"/>
          </w:tcPr>
          <w:p>
            <w:pPr>
              <w:pStyle w:val="TableText"/>
            </w:pPr>
            <w:r>
              <w:t xml:space="preserve">c. 1400–1200 BCE</w:t>
            </w:r>
          </w:p>
        </w:tc>
        <w:tc>
          <w:tcPr>
            <w:tcW w:w="2400" w:type="dxa"/>
          </w:tcPr>
          <w:p>
            <w:pPr>
              <w:pStyle w:val="TableText"/>
            </w:pPr>
            <w:r>
              <w:t xml:space="preserve">Observations underlying the </w:t>
            </w:r>
            <w:r>
              <w:rPr>
                <w:i/>
              </w:rPr>
              <w:t xml:space="preserve">Vedanga Jyotisha</w:t>
            </w:r>
          </w:p>
        </w:tc>
        <w:tc>
          <w:tcPr>
            <w:tcW w:w="2400" w:type="dxa"/>
          </w:tcPr>
          <w:p>
            <w:pPr>
              <w:pStyle w:val="TableText"/>
            </w:pPr>
            <w:r>
              <w:t xml:space="preserve">The solstice and nakshatra positions in the text fit this window. The inference is standard but not universally accepted.</w:t>
            </w:r>
          </w:p>
        </w:tc>
      </w:tr>
      <w:tr>
        <w:tc>
          <w:tcPr>
            <w:tcW w:w="2400" w:type="dxa"/>
          </w:tcPr>
          <w:p>
            <w:pPr>
              <w:pStyle w:val="TableText"/>
            </w:pPr>
            <w:r>
              <w:t xml:space="preserve">c. 700–500 BCE</w:t>
            </w:r>
          </w:p>
        </w:tc>
        <w:tc>
          <w:tcPr>
            <w:tcW w:w="2400" w:type="dxa"/>
          </w:tcPr>
          <w:p>
            <w:pPr>
              <w:pStyle w:val="TableText"/>
            </w:pPr>
            <w:r>
              <w:rPr>
                <w:i/>
              </w:rPr>
              <w:t xml:space="preserve">Vedanga Jyotisha</w:t>
            </w:r>
            <w:r>
              <w:t xml:space="preserve"> of Lagadha compiled</w:t>
            </w:r>
          </w:p>
        </w:tc>
        <w:tc>
          <w:tcPr>
            <w:tcW w:w="2400" w:type="dxa"/>
          </w:tcPr>
          <w:p>
            <w:pPr>
              <w:pStyle w:val="TableText"/>
            </w:pPr>
            <w:r>
              <w:t xml:space="preserve">The earliest surviving Indian astronomical text, in two recensions (Rig and Yajur). It computes a five-year luni-solar </w:t>
            </w:r>
            <w:r>
              <w:rPr>
                <w:i/>
              </w:rPr>
              <w:t xml:space="preserve">yuga</w:t>
            </w:r>
            <w:r>
              <w:t xml:space="preserve"> to time sacrifices. It still has no rashis.</w:t>
            </w:r>
          </w:p>
        </w:tc>
      </w:tr>
      <w:tr>
        <w:tc>
          <w:tcPr>
            <w:tcW w:w="2400" w:type="dxa"/>
          </w:tcPr>
          <w:p>
            <w:pPr>
              <w:pStyle w:val="TableText"/>
            </w:pPr>
            <w:r>
              <w:t xml:space="preserve">c. 2nd–3rd c. CE</w:t>
            </w:r>
          </w:p>
        </w:tc>
        <w:tc>
          <w:tcPr>
            <w:tcW w:w="2400" w:type="dxa"/>
          </w:tcPr>
          <w:p>
            <w:pPr>
              <w:pStyle w:val="TableText"/>
            </w:pPr>
            <w:r>
              <w:rPr>
                <w:i/>
              </w:rPr>
              <w:t xml:space="preserve">Yavanajataka</w:t>
            </w:r>
            <w:r>
              <w:t xml:space="preserve"> and Greek transmission</w:t>
            </w:r>
          </w:p>
        </w:tc>
        <w:tc>
          <w:tcPr>
            <w:tcW w:w="2400" w:type="dxa"/>
          </w:tcPr>
          <w:p>
            <w:pPr>
              <w:pStyle w:val="TableText"/>
            </w:pPr>
            <w:r>
              <w:t xml:space="preserve">The Hellenistic twelve-sign horoscopic zodiac enters Sanskrit. David Pingree's 1978 edition dated Sphujidhvaja's verse redaction to 269/270 CE and posited a lost Greek prose original translated at Ujjain in 149/150 CE. </w:t>
            </w:r>
            <w:r>
              <w:rPr>
                <w:b/>
              </w:rPr>
              <w:t xml:space="preserve">Disputed:</w:t>
            </w:r>
            <w:r>
              <w:t xml:space="preserve"> Bill Mak's 2013 study of a newly available Nepalese manuscript rejected Pingree's readings and his dating. Treat the century as unsettled; the Greek loanwords in the text are not.</w:t>
            </w:r>
          </w:p>
        </w:tc>
      </w:tr>
      <w:tr>
        <w:tc>
          <w:tcPr>
            <w:tcW w:w="2400" w:type="dxa"/>
          </w:tcPr>
          <w:p>
            <w:pPr>
              <w:pStyle w:val="TableText"/>
            </w:pPr>
            <w:r>
              <w:t xml:space="preserve">499 CE</w:t>
            </w:r>
          </w:p>
        </w:tc>
        <w:tc>
          <w:tcPr>
            <w:tcW w:w="2400" w:type="dxa"/>
          </w:tcPr>
          <w:p>
            <w:pPr>
              <w:pStyle w:val="TableText"/>
            </w:pPr>
            <w:r>
              <w:t xml:space="preserve">Aryabhata's </w:t>
            </w:r>
            <w:r>
              <w:rPr>
                <w:i/>
              </w:rPr>
              <w:t xml:space="preserve">Aryabhatiya</w:t>
            </w:r>
          </w:p>
        </w:tc>
        <w:tc>
          <w:tcPr>
            <w:tcW w:w="2400" w:type="dxa"/>
          </w:tcPr>
          <w:p>
            <w:pPr>
              <w:pStyle w:val="TableText"/>
            </w:pPr>
            <w:r>
              <w:t xml:space="preserve">Dated by its own statement that the author was twenty-three, 3,600 years into the Kali Yuga. It gives the mathematical machinery — sines, planetary periods, a rotating Earth — on which later rashi computation runs.</w:t>
            </w:r>
          </w:p>
        </w:tc>
      </w:tr>
      <w:tr>
        <w:tc>
          <w:tcPr>
            <w:tcW w:w="2400" w:type="dxa"/>
          </w:tcPr>
          <w:p>
            <w:pPr>
              <w:pStyle w:val="TableText"/>
            </w:pPr>
            <w:r>
              <w:t xml:space="preserve">6th c. CE</w:t>
            </w:r>
          </w:p>
        </w:tc>
        <w:tc>
          <w:tcPr>
            <w:tcW w:w="2400" w:type="dxa"/>
          </w:tcPr>
          <w:p>
            <w:pPr>
              <w:pStyle w:val="TableText"/>
            </w:pPr>
            <w:r>
              <w:t xml:space="preserve">Varahamihira</w:t>
            </w:r>
          </w:p>
        </w:tc>
        <w:tc>
          <w:tcPr>
            <w:tcW w:w="2400" w:type="dxa"/>
          </w:tcPr>
          <w:p>
            <w:pPr>
              <w:pStyle w:val="TableText"/>
            </w:pPr>
            <w:r>
              <w:t xml:space="preserve">The </w:t>
            </w:r>
            <w:r>
              <w:rPr>
                <w:i/>
              </w:rPr>
              <w:t xml:space="preserve">Brihat Jataka</w:t>
            </w:r>
            <w:r>
              <w:t xml:space="preserve"> becomes the standard textbook of natal astrology and the </w:t>
            </w:r>
            <w:r>
              <w:rPr>
                <w:i/>
              </w:rPr>
              <w:t xml:space="preserve">Brihat Samhita</w:t>
            </w:r>
            <w:r>
              <w:t xml:space="preserve"> the great compendium of omens, architecture and natural science. His </w:t>
            </w:r>
            <w:r>
              <w:rPr>
                <w:i/>
              </w:rPr>
              <w:t xml:space="preserve">Pancha-siddhantika</w:t>
            </w:r>
            <w:r>
              <w:t xml:space="preserve"> summarises five earlier astronomical schools, which is how we know they existed.</w:t>
            </w:r>
          </w:p>
        </w:tc>
      </w:tr>
      <w:tr>
        <w:tc>
          <w:tcPr>
            <w:tcW w:w="2400" w:type="dxa"/>
          </w:tcPr>
          <w:p>
            <w:pPr>
              <w:pStyle w:val="TableText"/>
            </w:pPr>
            <w:r>
              <w:t xml:space="preserve">c. 4th–10th c. CE</w:t>
            </w:r>
          </w:p>
        </w:tc>
        <w:tc>
          <w:tcPr>
            <w:tcW w:w="2400" w:type="dxa"/>
          </w:tcPr>
          <w:p>
            <w:pPr>
              <w:pStyle w:val="TableText"/>
            </w:pPr>
            <w:r>
              <w:rPr>
                <w:i/>
              </w:rPr>
              <w:t xml:space="preserve">Surya Siddhanta</w:t>
            </w:r>
          </w:p>
        </w:tc>
        <w:tc>
          <w:tcPr>
            <w:tcW w:w="2400" w:type="dxa"/>
          </w:tcPr>
          <w:p>
            <w:pPr>
              <w:pStyle w:val="TableText"/>
            </w:pPr>
            <w:r>
              <w:t xml:space="preserve">An older version is already being summarised by Varahamihira; the received text is usually placed several centuries later. The range is wide and contested.</w:t>
            </w:r>
          </w:p>
        </w:tc>
      </w:tr>
      <w:tr>
        <w:tc>
          <w:tcPr>
            <w:tcW w:w="2400" w:type="dxa"/>
          </w:tcPr>
          <w:p>
            <w:pPr>
              <w:pStyle w:val="TableText"/>
            </w:pPr>
            <w:r>
              <w:t xml:space="preserve">8th–16th c. CE</w:t>
            </w:r>
          </w:p>
        </w:tc>
        <w:tc>
          <w:tcPr>
            <w:tcW w:w="2400" w:type="dxa"/>
          </w:tcPr>
          <w:p>
            <w:pPr>
              <w:pStyle w:val="TableText"/>
            </w:pPr>
            <w:r>
              <w:t xml:space="preserve">The commentarial tradition</w:t>
            </w:r>
          </w:p>
        </w:tc>
        <w:tc>
          <w:tcPr>
            <w:tcW w:w="2400" w:type="dxa"/>
          </w:tcPr>
          <w:p>
            <w:pPr>
              <w:pStyle w:val="TableText"/>
            </w:pPr>
            <w:r>
              <w:t xml:space="preserve">Kalyanavarma's </w:t>
            </w:r>
            <w:r>
              <w:rPr>
                <w:i/>
              </w:rPr>
              <w:t xml:space="preserve">Saravali</w:t>
            </w:r>
            <w:r>
              <w:t xml:space="preserve">, Bhattotpala's commentary on the </w:t>
            </w:r>
            <w:r>
              <w:rPr>
                <w:i/>
              </w:rPr>
              <w:t xml:space="preserve">Brihat Jataka</w:t>
            </w:r>
            <w:r>
              <w:t xml:space="preserve"> (966 CE), the </w:t>
            </w:r>
            <w:r>
              <w:rPr>
                <w:i/>
              </w:rPr>
              <w:t xml:space="preserve">Brihat Parashara Hora Shastra</w:t>
            </w:r>
            <w:r>
              <w:t xml:space="preserve"> (ascribed to the sage Parashara; its actual date is unknown and probably medieval), and the </w:t>
            </w:r>
            <w:r>
              <w:rPr>
                <w:i/>
              </w:rPr>
              <w:t xml:space="preserve">Phaladeepika</w:t>
            </w:r>
            <w:r>
              <w:t xml:space="preserve">.</w:t>
            </w:r>
          </w:p>
        </w:tc>
      </w:tr>
      <w:tr>
        <w:tc>
          <w:tcPr>
            <w:tcW w:w="2400" w:type="dxa"/>
          </w:tcPr>
          <w:p>
            <w:pPr>
              <w:pStyle w:val="TableText"/>
            </w:pPr>
            <w:r>
              <w:t xml:space="preserve">1501 CE</w:t>
            </w:r>
          </w:p>
        </w:tc>
        <w:tc>
          <w:tcPr>
            <w:tcW w:w="2400" w:type="dxa"/>
          </w:tcPr>
          <w:p>
            <w:pPr>
              <w:pStyle w:val="TableText"/>
            </w:pPr>
            <w:r>
              <w:t xml:space="preserve">Nilakantha Somayaji's </w:t>
            </w:r>
            <w:r>
              <w:rPr>
                <w:i/>
              </w:rPr>
              <w:t xml:space="preserve">Tantrasangraha</w:t>
            </w:r>
          </w:p>
        </w:tc>
        <w:tc>
          <w:tcPr>
            <w:tcW w:w="2400" w:type="dxa"/>
          </w:tcPr>
          <w:p>
            <w:pPr>
              <w:pStyle w:val="TableText"/>
            </w:pPr>
            <w:r>
              <w:t xml:space="preserve">The Kerala school refines planetary models well before European contact.</w:t>
            </w:r>
          </w:p>
        </w:tc>
      </w:tr>
      <w:tr>
        <w:tc>
          <w:tcPr>
            <w:tcW w:w="2400" w:type="dxa"/>
          </w:tcPr>
          <w:p>
            <w:pPr>
              <w:pStyle w:val="TableText"/>
            </w:pPr>
            <w:r>
              <w:t xml:space="preserve">1724–1735</w:t>
            </w:r>
          </w:p>
        </w:tc>
        <w:tc>
          <w:tcPr>
            <w:tcW w:w="2400" w:type="dxa"/>
          </w:tcPr>
          <w:p>
            <w:pPr>
              <w:pStyle w:val="TableText"/>
            </w:pPr>
            <w:r>
              <w:t xml:space="preserve">Jai Singh II's Jantar Mantar observatories</w:t>
            </w:r>
          </w:p>
        </w:tc>
        <w:tc>
          <w:tcPr>
            <w:tcW w:w="2400" w:type="dxa"/>
          </w:tcPr>
          <w:p>
            <w:pPr>
              <w:pStyle w:val="TableText"/>
            </w:pPr>
            <w:r>
              <w:t xml:space="preserve">Masonry instruments at Jaipur, Delhi, Ujjain, Varanasi and Mathura, built to correct the tables.</w:t>
            </w:r>
          </w:p>
        </w:tc>
      </w:tr>
      <w:tr>
        <w:tc>
          <w:tcPr>
            <w:tcW w:w="2400" w:type="dxa"/>
          </w:tcPr>
          <w:p>
            <w:pPr>
              <w:pStyle w:val="TableText"/>
            </w:pPr>
            <w:r>
              <w:t xml:space="preserve">1955</w:t>
            </w:r>
          </w:p>
        </w:tc>
        <w:tc>
          <w:tcPr>
            <w:tcW w:w="2400" w:type="dxa"/>
          </w:tcPr>
          <w:p>
            <w:pPr>
              <w:pStyle w:val="TableText"/>
            </w:pPr>
            <w:r>
              <w:t xml:space="preserve">Calendar Reform Committee</w:t>
            </w:r>
          </w:p>
        </w:tc>
        <w:tc>
          <w:tcPr>
            <w:tcW w:w="2400" w:type="dxa"/>
          </w:tcPr>
          <w:p>
            <w:pPr>
              <w:pStyle w:val="TableText"/>
            </w:pPr>
            <w:r>
              <w:t xml:space="preserve">The committee under Meghnad Saha adopted the </w:t>
            </w:r>
            <w:r>
              <w:rPr>
                <w:b/>
              </w:rPr>
              <w:t xml:space="preserve">Lahiri (Chitrapaksha) ayanamsa</w:t>
            </w:r>
            <w:r>
              <w:t xml:space="preserve"> as India's national standard for sidereal and religious calculation. The Indian National Calendar took effect on 22 March 1957.</w:t>
            </w:r>
          </w:p>
        </w:tc>
      </w:tr>
    </w:tbl>
    <w:p/>
    <w:p>
      <w:pPr>
        <w:pStyle w:val="Heading2"/>
      </w:pPr>
      <w:r>
        <w:t xml:space="preserve">Ayanamsa and precession</w:t>
      </w:r>
    </w:p>
    <w:p>
      <w:r>
        <w:rPr>
          <w:i/>
        </w:rPr>
        <w:t xml:space="preserve">Ayanamsa</w:t>
      </w:r>
      <w:r>
        <w:t xml:space="preserve"> is the running gap between the tropical zero point (the March equinox) and the sidereal zero point. Because the equinox precesses westward along the ecliptic at roughly 50 arcseconds a year, that gap grows.</w:t>
      </w:r>
    </w:p>
    <w:p>
      <w:r>
        <w:t xml:space="preserve">The Lahiri ayanamsa fixes the sidereal zodiac so that the star Chitra (Spica) sits at 180°, which puts the two zodiacs in agreement around the third century CE and about </w:t>
      </w:r>
      <w:r>
        <w:rPr>
          <w:b/>
        </w:rPr>
        <w:t xml:space="preserve">24 degrees apart in the 2020s</w:t>
      </w:r>
      <w:r>
        <w:t xml:space="preserve">. Practically, that is why the Vedic sun sign is normally </w:t>
      </w:r>
      <w:r>
        <w:rPr>
          <w:i/>
        </w:rPr>
        <w:t xml:space="preserve">one sign behind</w:t>
      </w:r>
      <w:r>
        <w:t xml:space="preserve"> the Western one: the Sun enters sidereal Mesha around 14 April, not 21 March.</w:t>
      </w:r>
    </w:p>
    <w:p>
      <w:r>
        <w:t xml:space="preserve">The choice of ayanamsa is contested, and the disagreement is not trivial — a degree of ayanamsa moves every sign boundary by a day. </w:t>
      </w:r>
      <w:r>
        <w:rPr>
          <w:b/>
        </w:rPr>
        <w:t xml:space="preserve">Lahiri</w:t>
      </w:r>
      <w:r>
        <w:t xml:space="preserve"> is the Indian government standard and the most widely used. </w:t>
      </w:r>
      <w:r>
        <w:rPr>
          <w:b/>
        </w:rPr>
        <w:t xml:space="preserve">Raman</w:t>
      </w:r>
      <w:r>
        <w:t xml:space="preserve">, after B. V. Raman, runs roughly a degree lower. </w:t>
      </w:r>
      <w:r>
        <w:rPr>
          <w:b/>
        </w:rPr>
        <w:t xml:space="preserve">Krishnamurti (KP)</w:t>
      </w:r>
      <w:r>
        <w:t xml:space="preserve"> sits a few arcminutes from Lahiri. Others place the zero point at Revati or at a chosen fixed star. There is no neutral arbiter; each school defends its own.</w:t>
      </w:r>
    </w:p>
    <w:p>
      <w:pPr>
        <w:pStyle w:val="Heading2"/>
      </w:pPr>
      <w:r>
        <w:t xml:space="preserve">Religion</w:t>
      </w:r>
    </w:p>
    <w:p>
      <w:r>
        <w:t xml:space="preserve">Jyotisha is living Hindu religious practice, and is used across Hindu, Jain and some Buddhist communities. Its planets are the </w:t>
      </w:r>
      <w:r>
        <w:rPr>
          <w:b/>
        </w:rPr>
        <w:t xml:space="preserve">Navagraha</w:t>
      </w:r>
      <w:r>
        <w:t xml:space="preserve"> — Surya, Chandra, Mangala, Budha, Brihaspati, Shukra, Shani, and the two shadow-grahas Rahu and Ketu, the lunar nodes. They are not abstractions but deities with iconography, weekdays, mantras and temples: a Navagraha shrine, nine figures set in a grid with Surya at the centre, stands in most South Indian temples and is circumambulated in its own right, and the Navagraha Sthalas around Kumbakonam are a pilgrimage circuit of nine temples, one per graha.</w:t>
      </w:r>
    </w:p>
    <w:p>
      <w:r>
        <w:t xml:space="preserve">When a chart shows an afflicted graha, the classical remedies are </w:t>
      </w:r>
      <w:r>
        <w:rPr>
          <w:i/>
        </w:rPr>
        <w:t xml:space="preserve">graha shanti</w:t>
      </w:r>
      <w:r>
        <w:t xml:space="preserve">: japa of that graha's Vedic mantra, homa, fasting on its weekday, and </w:t>
      </w:r>
      <w:r>
        <w:rPr>
          <w:i/>
        </w:rPr>
        <w:t xml:space="preserve">dana</w:t>
      </w:r>
      <w:r>
        <w:t xml:space="preserve"> — donation of its grain, metal, cloth and colour. Gemstone prescription is widespread today but belongs to later popular practice rather than the oldest texts.</w:t>
      </w:r>
    </w:p>
    <w:p>
      <w:r>
        <w:t xml:space="preserve">The rashis touch ordinary life mainly through </w:t>
      </w:r>
      <w:r>
        <w:rPr>
          <w:b/>
        </w:rPr>
        <w:t xml:space="preserve">muhurta</w:t>
      </w:r>
      <w:r>
        <w:t xml:space="preserve">, the election of auspicious time, and through the </w:t>
      </w:r>
      <w:r>
        <w:rPr>
          <w:i/>
        </w:rPr>
        <w:t xml:space="preserve">samskaras</w:t>
      </w:r>
      <w:r>
        <w:t xml:space="preserve">. A horoscope is cast at birth; the first syllable of the child's name at </w:t>
      </w:r>
      <w:r>
        <w:rPr>
          <w:b/>
        </w:rPr>
        <w:t xml:space="preserve">Namakarana</w:t>
      </w:r>
      <w:r>
        <w:t xml:space="preserve"> is taken from the pada of the Moon's nakshatra; </w:t>
      </w:r>
      <w:r>
        <w:rPr>
          <w:b/>
        </w:rPr>
        <w:t xml:space="preserve">Annaprashana</w:t>
      </w:r>
      <w:r>
        <w:t xml:space="preserve">, </w:t>
      </w:r>
      <w:r>
        <w:rPr>
          <w:b/>
        </w:rPr>
        <w:t xml:space="preserve">Chudakarana</w:t>
      </w:r>
      <w:r>
        <w:t xml:space="preserve">, </w:t>
      </w:r>
      <w:r>
        <w:rPr>
          <w:b/>
        </w:rPr>
        <w:t xml:space="preserve">Upanayana</w:t>
      </w:r>
      <w:r>
        <w:t xml:space="preserve"> and </w:t>
      </w:r>
      <w:r>
        <w:rPr>
          <w:b/>
        </w:rPr>
        <w:t xml:space="preserve">Griha Pravesha</w:t>
      </w:r>
      <w:r>
        <w:t xml:space="preserve"> are all timed by it. In </w:t>
      </w:r>
      <w:r>
        <w:rPr>
          <w:b/>
        </w:rPr>
        <w:t xml:space="preserve">Vivaha</w:t>
      </w:r>
      <w:r>
        <w:t xml:space="preserve">, marriage matching by </w:t>
      </w:r>
      <w:r>
        <w:rPr>
          <w:i/>
        </w:rPr>
        <w:t xml:space="preserve">kuta</w:t>
      </w:r>
      <w:r>
        <w:t xml:space="preserve"> points scores eight factors out of thirty-six — Varna, Vashya, Tara, Yoni, Graha Maitri, Gana, Bhakut and Nadi — with the Bhakut kuta read from the two rashis and the Nadi kuta from the nakshatras. This is described here as belief and practice, which is what it is for a very large number of people.</w:t>
      </w:r>
    </w:p>
    <w:p>
      <w:r>
        <w:t xml:space="preserve">One honest caveat: in Jyotisha the sign that matters most is usually the </w:t>
      </w:r>
      <w:r>
        <w:rPr>
          <w:b/>
        </w:rPr>
        <w:t xml:space="preserve">Janma Rashi</w:t>
      </w:r>
      <w:r>
        <w:t xml:space="preserve">, the Moon's sign at birth, or the </w:t>
      </w:r>
      <w:r>
        <w:rPr>
          <w:b/>
        </w:rPr>
        <w:t xml:space="preserve">Lagna</w:t>
      </w:r>
      <w:r>
        <w:t xml:space="preserve">, the rising sign. A solar sign of the kind this site displays is a Western habit applied to Indian data.</w:t>
      </w:r>
    </w:p>
    <w:p>
      <w:pPr>
        <w:pStyle w:val="Heading2"/>
      </w:pPr>
      <w:r>
        <w:t xml:space="preserve">The twelve rashis</w:t>
      </w:r>
    </w:p>
    <w:tbl>
      <w:tblPr>
        <w:tblStyle w:val="TableGrid"/>
        <w:tblW w:w="0" w:type="auto"/>
      </w:tblPr>
      <w:tblGrid>
        <w:gridCol w:w="2400"/>
        <w:gridCol w:w="2400"/>
        <w:gridCol w:w="2400"/>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Rashi</w:t>
            </w:r>
          </w:p>
        </w:tc>
        <w:tc>
          <w:tcPr>
            <w:tcW w:w="2400" w:type="dxa"/>
          </w:tcPr>
          <w:p>
            <w:pPr>
              <w:pStyle w:val="TableText"/>
            </w:pPr>
            <w:r>
              <w:rPr>
                <w:b/>
              </w:rPr>
              <w:t xml:space="preserve">Devanagari</w:t>
            </w:r>
          </w:p>
        </w:tc>
        <w:tc>
          <w:tcPr>
            <w:tcW w:w="2400" w:type="dxa"/>
          </w:tcPr>
          <w:p>
            <w:pPr>
              <w:pStyle w:val="TableText"/>
            </w:pPr>
            <w:r>
              <w:rPr>
                <w:b/>
              </w:rPr>
              <w:t xml:space="preserve">Site dates</w:t>
            </w:r>
          </w:p>
        </w:tc>
        <w:tc>
          <w:tcPr>
            <w:tcW w:w="2400" w:type="dxa"/>
          </w:tcPr>
          <w:p>
            <w:pPr>
              <w:pStyle w:val="TableText"/>
            </w:pPr>
            <w:r>
              <w:rPr>
                <w:b/>
              </w:rPr>
              <w:t xml:space="preserve">Ruling graha</w:t>
            </w:r>
          </w:p>
        </w:tc>
        <w:tc>
          <w:tcPr>
            <w:tcW w:w="2400" w:type="dxa"/>
          </w:tcPr>
          <w:p>
            <w:pPr>
              <w:pStyle w:val="TableText"/>
            </w:pPr>
            <w:r>
              <w:rPr>
                <w:b/>
              </w:rPr>
              <w:t xml:space="preserve">Element</w:t>
            </w:r>
          </w:p>
        </w:tc>
        <w:tc>
          <w:tcPr>
            <w:tcW w:w="2400" w:type="dxa"/>
          </w:tcPr>
          <w:p>
            <w:pPr>
              <w:pStyle w:val="TableText"/>
            </w:pPr>
            <w:r>
              <w:rPr>
                <w:b/>
              </w:rPr>
              <w:t xml:space="preserve">Quality</w:t>
            </w:r>
          </w:p>
        </w:tc>
        <w:tc>
          <w:tcPr>
            <w:tcW w:w="2400" w:type="dxa"/>
          </w:tcPr>
          <w:p>
            <w:pPr>
              <w:pStyle w:val="TableText"/>
            </w:pPr>
            <w:r>
              <w:rPr>
                <w:b/>
              </w:rPr>
              <w:t xml:space="preserve">Tropical</w:t>
            </w:r>
          </w:p>
        </w:tc>
      </w:tr>
      <w:tr>
        <w:tc>
          <w:tcPr>
            <w:tcW w:w="2400" w:type="dxa"/>
          </w:tcPr>
          <w:p>
            <w:pPr>
              <w:pStyle w:val="TableText"/>
            </w:pPr>
            <w:r>
              <w:t xml:space="preserve">1</w:t>
            </w:r>
          </w:p>
        </w:tc>
        <w:tc>
          <w:tcPr>
            <w:tcW w:w="2400" w:type="dxa"/>
          </w:tcPr>
          <w:p>
            <w:pPr>
              <w:pStyle w:val="TableText"/>
            </w:pPr>
            <w:hyperlink r:id="rId101">
              <w:r>
                <w:rPr>
                  <w:color w:val="1F4E79"/>
                  <w:u w:val="single"/>
                </w:rPr>
                <w:t xml:space="preserve">Mesha</w:t>
              </w:r>
            </w:hyperlink>
          </w:p>
        </w:tc>
        <w:tc>
          <w:tcPr>
            <w:tcW w:w="2400" w:type="dxa"/>
          </w:tcPr>
          <w:p>
            <w:pPr>
              <w:pStyle w:val="TableText"/>
            </w:pPr>
            <w:r>
              <w:t xml:space="preserve">मेष</w:t>
            </w:r>
          </w:p>
        </w:tc>
        <w:tc>
          <w:tcPr>
            <w:tcW w:w="2400" w:type="dxa"/>
          </w:tcPr>
          <w:p>
            <w:pPr>
              <w:pStyle w:val="TableText"/>
            </w:pPr>
            <w:r>
              <w:t xml:space="preserve">14 Apr – 14 May</w:t>
            </w:r>
          </w:p>
        </w:tc>
        <w:tc>
          <w:tcPr>
            <w:tcW w:w="2400" w:type="dxa"/>
          </w:tcPr>
          <w:p>
            <w:pPr>
              <w:pStyle w:val="TableText"/>
            </w:pPr>
            <w:r>
              <w:t xml:space="preserve">Mangala</w:t>
            </w:r>
          </w:p>
        </w:tc>
        <w:tc>
          <w:tcPr>
            <w:tcW w:w="2400" w:type="dxa"/>
          </w:tcPr>
          <w:p>
            <w:pPr>
              <w:pStyle w:val="TableText"/>
            </w:pPr>
            <w:r>
              <w:t xml:space="preserve">Agni</w:t>
            </w:r>
          </w:p>
        </w:tc>
        <w:tc>
          <w:tcPr>
            <w:tcW w:w="2400" w:type="dxa"/>
          </w:tcPr>
          <w:p>
            <w:pPr>
              <w:pStyle w:val="TableText"/>
            </w:pPr>
            <w:r>
              <w:t xml:space="preserve">Chara</w:t>
            </w:r>
          </w:p>
        </w:tc>
        <w:tc>
          <w:tcPr>
            <w:tcW w:w="2400" w:type="dxa"/>
          </w:tcPr>
          <w:p>
            <w:pPr>
              <w:pStyle w:val="TableText"/>
            </w:pPr>
            <w:hyperlink r:id="rId102">
              <w:r>
                <w:rPr>
                  <w:color w:val="1F4E79"/>
                  <w:u w:val="single"/>
                </w:rPr>
                <w:t xml:space="preserve">Aries</w:t>
              </w:r>
            </w:hyperlink>
          </w:p>
        </w:tc>
      </w:tr>
      <w:tr>
        <w:tc>
          <w:tcPr>
            <w:tcW w:w="2400" w:type="dxa"/>
          </w:tcPr>
          <w:p>
            <w:pPr>
              <w:pStyle w:val="TableText"/>
            </w:pPr>
            <w:r>
              <w:t xml:space="preserve">2</w:t>
            </w:r>
          </w:p>
        </w:tc>
        <w:tc>
          <w:tcPr>
            <w:tcW w:w="2400" w:type="dxa"/>
          </w:tcPr>
          <w:p>
            <w:pPr>
              <w:pStyle w:val="TableText"/>
            </w:pPr>
            <w:hyperlink r:id="rId103">
              <w:r>
                <w:rPr>
                  <w:color w:val="1F4E79"/>
                  <w:u w:val="single"/>
                </w:rPr>
                <w:t xml:space="preserve">Vrishabha</w:t>
              </w:r>
            </w:hyperlink>
          </w:p>
        </w:tc>
        <w:tc>
          <w:tcPr>
            <w:tcW w:w="2400" w:type="dxa"/>
          </w:tcPr>
          <w:p>
            <w:pPr>
              <w:pStyle w:val="TableText"/>
            </w:pPr>
            <w:r>
              <w:t xml:space="preserve">वृषभ</w:t>
            </w:r>
          </w:p>
        </w:tc>
        <w:tc>
          <w:tcPr>
            <w:tcW w:w="2400" w:type="dxa"/>
          </w:tcPr>
          <w:p>
            <w:pPr>
              <w:pStyle w:val="TableText"/>
            </w:pPr>
            <w:r>
              <w:t xml:space="preserve">15 May – 14 Jun</w:t>
            </w:r>
          </w:p>
        </w:tc>
        <w:tc>
          <w:tcPr>
            <w:tcW w:w="2400" w:type="dxa"/>
          </w:tcPr>
          <w:p>
            <w:pPr>
              <w:pStyle w:val="TableText"/>
            </w:pPr>
            <w:r>
              <w:t xml:space="preserve">Shukra</w:t>
            </w:r>
          </w:p>
        </w:tc>
        <w:tc>
          <w:tcPr>
            <w:tcW w:w="2400" w:type="dxa"/>
          </w:tcPr>
          <w:p>
            <w:pPr>
              <w:pStyle w:val="TableText"/>
            </w:pPr>
            <w:r>
              <w:t xml:space="preserve">Prithvi</w:t>
            </w:r>
          </w:p>
        </w:tc>
        <w:tc>
          <w:tcPr>
            <w:tcW w:w="2400" w:type="dxa"/>
          </w:tcPr>
          <w:p>
            <w:pPr>
              <w:pStyle w:val="TableText"/>
            </w:pPr>
            <w:r>
              <w:t xml:space="preserve">Sthira</w:t>
            </w:r>
          </w:p>
        </w:tc>
        <w:tc>
          <w:tcPr>
            <w:tcW w:w="2400" w:type="dxa"/>
          </w:tcPr>
          <w:p>
            <w:pPr>
              <w:pStyle w:val="TableText"/>
            </w:pPr>
            <w:hyperlink r:id="rId104">
              <w:r>
                <w:rPr>
                  <w:color w:val="1F4E79"/>
                  <w:u w:val="single"/>
                </w:rPr>
                <w:t xml:space="preserve">Taurus</w:t>
              </w:r>
            </w:hyperlink>
          </w:p>
        </w:tc>
      </w:tr>
      <w:tr>
        <w:tc>
          <w:tcPr>
            <w:tcW w:w="2400" w:type="dxa"/>
          </w:tcPr>
          <w:p>
            <w:pPr>
              <w:pStyle w:val="TableText"/>
            </w:pPr>
            <w:r>
              <w:t xml:space="preserve">3</w:t>
            </w:r>
          </w:p>
        </w:tc>
        <w:tc>
          <w:tcPr>
            <w:tcW w:w="2400" w:type="dxa"/>
          </w:tcPr>
          <w:p>
            <w:pPr>
              <w:pStyle w:val="TableText"/>
            </w:pPr>
            <w:hyperlink r:id="rId105">
              <w:r>
                <w:rPr>
                  <w:color w:val="1F4E79"/>
                  <w:u w:val="single"/>
                </w:rPr>
                <w:t xml:space="preserve">Mithuna</w:t>
              </w:r>
            </w:hyperlink>
          </w:p>
        </w:tc>
        <w:tc>
          <w:tcPr>
            <w:tcW w:w="2400" w:type="dxa"/>
          </w:tcPr>
          <w:p>
            <w:pPr>
              <w:pStyle w:val="TableText"/>
            </w:pPr>
            <w:r>
              <w:t xml:space="preserve">मिथुन</w:t>
            </w:r>
          </w:p>
        </w:tc>
        <w:tc>
          <w:tcPr>
            <w:tcW w:w="2400" w:type="dxa"/>
          </w:tcPr>
          <w:p>
            <w:pPr>
              <w:pStyle w:val="TableText"/>
            </w:pPr>
            <w:r>
              <w:t xml:space="preserve">15 Jun – 15 Jul</w:t>
            </w:r>
          </w:p>
        </w:tc>
        <w:tc>
          <w:tcPr>
            <w:tcW w:w="2400" w:type="dxa"/>
          </w:tcPr>
          <w:p>
            <w:pPr>
              <w:pStyle w:val="TableText"/>
            </w:pPr>
            <w:r>
              <w:t xml:space="preserve">Budha</w:t>
            </w:r>
          </w:p>
        </w:tc>
        <w:tc>
          <w:tcPr>
            <w:tcW w:w="2400" w:type="dxa"/>
          </w:tcPr>
          <w:p>
            <w:pPr>
              <w:pStyle w:val="TableText"/>
            </w:pPr>
            <w:r>
              <w:t xml:space="preserve">Vayu</w:t>
            </w:r>
          </w:p>
        </w:tc>
        <w:tc>
          <w:tcPr>
            <w:tcW w:w="2400" w:type="dxa"/>
          </w:tcPr>
          <w:p>
            <w:pPr>
              <w:pStyle w:val="TableText"/>
            </w:pPr>
            <w:r>
              <w:t xml:space="preserve">Dvisvabhava</w:t>
            </w:r>
          </w:p>
        </w:tc>
        <w:tc>
          <w:tcPr>
            <w:tcW w:w="2400" w:type="dxa"/>
          </w:tcPr>
          <w:p>
            <w:pPr>
              <w:pStyle w:val="TableText"/>
            </w:pPr>
            <w:hyperlink r:id="rId106">
              <w:r>
                <w:rPr>
                  <w:color w:val="1F4E79"/>
                  <w:u w:val="single"/>
                </w:rPr>
                <w:t xml:space="preserve">Gemini</w:t>
              </w:r>
            </w:hyperlink>
          </w:p>
        </w:tc>
      </w:tr>
      <w:tr>
        <w:tc>
          <w:tcPr>
            <w:tcW w:w="2400" w:type="dxa"/>
          </w:tcPr>
          <w:p>
            <w:pPr>
              <w:pStyle w:val="TableText"/>
            </w:pPr>
            <w:r>
              <w:t xml:space="preserve">4</w:t>
            </w:r>
          </w:p>
        </w:tc>
        <w:tc>
          <w:tcPr>
            <w:tcW w:w="2400" w:type="dxa"/>
          </w:tcPr>
          <w:p>
            <w:pPr>
              <w:pStyle w:val="TableText"/>
            </w:pPr>
            <w:hyperlink r:id="rId107">
              <w:r>
                <w:rPr>
                  <w:color w:val="1F4E79"/>
                  <w:u w:val="single"/>
                </w:rPr>
                <w:t xml:space="preserve">Karka</w:t>
              </w:r>
            </w:hyperlink>
          </w:p>
        </w:tc>
        <w:tc>
          <w:tcPr>
            <w:tcW w:w="2400" w:type="dxa"/>
          </w:tcPr>
          <w:p>
            <w:pPr>
              <w:pStyle w:val="TableText"/>
            </w:pPr>
            <w:r>
              <w:t xml:space="preserve">कर्क</w:t>
            </w:r>
          </w:p>
        </w:tc>
        <w:tc>
          <w:tcPr>
            <w:tcW w:w="2400" w:type="dxa"/>
          </w:tcPr>
          <w:p>
            <w:pPr>
              <w:pStyle w:val="TableText"/>
            </w:pPr>
            <w:r>
              <w:t xml:space="preserve">16 Jul – 16 Aug</w:t>
            </w:r>
          </w:p>
        </w:tc>
        <w:tc>
          <w:tcPr>
            <w:tcW w:w="2400" w:type="dxa"/>
          </w:tcPr>
          <w:p>
            <w:pPr>
              <w:pStyle w:val="TableText"/>
            </w:pPr>
            <w:r>
              <w:t xml:space="preserve">Chandra</w:t>
            </w:r>
          </w:p>
        </w:tc>
        <w:tc>
          <w:tcPr>
            <w:tcW w:w="2400" w:type="dxa"/>
          </w:tcPr>
          <w:p>
            <w:pPr>
              <w:pStyle w:val="TableText"/>
            </w:pPr>
            <w:r>
              <w:t xml:space="preserve">Jala</w:t>
            </w:r>
          </w:p>
        </w:tc>
        <w:tc>
          <w:tcPr>
            <w:tcW w:w="2400" w:type="dxa"/>
          </w:tcPr>
          <w:p>
            <w:pPr>
              <w:pStyle w:val="TableText"/>
            </w:pPr>
            <w:r>
              <w:t xml:space="preserve">Chara</w:t>
            </w:r>
          </w:p>
        </w:tc>
        <w:tc>
          <w:tcPr>
            <w:tcW w:w="2400" w:type="dxa"/>
          </w:tcPr>
          <w:p>
            <w:pPr>
              <w:pStyle w:val="TableText"/>
            </w:pPr>
            <w:hyperlink r:id="rId108">
              <w:r>
                <w:rPr>
                  <w:color w:val="1F4E79"/>
                  <w:u w:val="single"/>
                </w:rPr>
                <w:t xml:space="preserve">Cancer (Zodiac Sign)</w:t>
              </w:r>
            </w:hyperlink>
          </w:p>
        </w:tc>
      </w:tr>
      <w:tr>
        <w:tc>
          <w:tcPr>
            <w:tcW w:w="2400" w:type="dxa"/>
          </w:tcPr>
          <w:p>
            <w:pPr>
              <w:pStyle w:val="TableText"/>
            </w:pPr>
            <w:r>
              <w:t xml:space="preserve">5</w:t>
            </w:r>
          </w:p>
        </w:tc>
        <w:tc>
          <w:tcPr>
            <w:tcW w:w="2400" w:type="dxa"/>
          </w:tcPr>
          <w:p>
            <w:pPr>
              <w:pStyle w:val="TableText"/>
            </w:pPr>
            <w:hyperlink r:id="rId109">
              <w:r>
                <w:rPr>
                  <w:color w:val="1F4E79"/>
                  <w:u w:val="single"/>
                </w:rPr>
                <w:t xml:space="preserve">Simha</w:t>
              </w:r>
            </w:hyperlink>
          </w:p>
        </w:tc>
        <w:tc>
          <w:tcPr>
            <w:tcW w:w="2400" w:type="dxa"/>
          </w:tcPr>
          <w:p>
            <w:pPr>
              <w:pStyle w:val="TableText"/>
            </w:pPr>
            <w:r>
              <w:t xml:space="preserve">सिंह</w:t>
            </w:r>
          </w:p>
        </w:tc>
        <w:tc>
          <w:tcPr>
            <w:tcW w:w="2400" w:type="dxa"/>
          </w:tcPr>
          <w:p>
            <w:pPr>
              <w:pStyle w:val="TableText"/>
            </w:pPr>
            <w:r>
              <w:t xml:space="preserve">17 Aug – 16 Sep</w:t>
            </w:r>
          </w:p>
        </w:tc>
        <w:tc>
          <w:tcPr>
            <w:tcW w:w="2400" w:type="dxa"/>
          </w:tcPr>
          <w:p>
            <w:pPr>
              <w:pStyle w:val="TableText"/>
            </w:pPr>
            <w:r>
              <w:t xml:space="preserve">Surya</w:t>
            </w:r>
          </w:p>
        </w:tc>
        <w:tc>
          <w:tcPr>
            <w:tcW w:w="2400" w:type="dxa"/>
          </w:tcPr>
          <w:p>
            <w:pPr>
              <w:pStyle w:val="TableText"/>
            </w:pPr>
            <w:r>
              <w:t xml:space="preserve">Agni</w:t>
            </w:r>
          </w:p>
        </w:tc>
        <w:tc>
          <w:tcPr>
            <w:tcW w:w="2400" w:type="dxa"/>
          </w:tcPr>
          <w:p>
            <w:pPr>
              <w:pStyle w:val="TableText"/>
            </w:pPr>
            <w:r>
              <w:t xml:space="preserve">Sthira</w:t>
            </w:r>
          </w:p>
        </w:tc>
        <w:tc>
          <w:tcPr>
            <w:tcW w:w="2400" w:type="dxa"/>
          </w:tcPr>
          <w:p>
            <w:pPr>
              <w:pStyle w:val="TableText"/>
            </w:pPr>
            <w:hyperlink r:id="rId110">
              <w:r>
                <w:rPr>
                  <w:color w:val="1F4E79"/>
                  <w:u w:val="single"/>
                </w:rPr>
                <w:t xml:space="preserve">Leo</w:t>
              </w:r>
            </w:hyperlink>
          </w:p>
        </w:tc>
      </w:tr>
      <w:tr>
        <w:tc>
          <w:tcPr>
            <w:tcW w:w="2400" w:type="dxa"/>
          </w:tcPr>
          <w:p>
            <w:pPr>
              <w:pStyle w:val="TableText"/>
            </w:pPr>
            <w:r>
              <w:t xml:space="preserve">6</w:t>
            </w:r>
          </w:p>
        </w:tc>
        <w:tc>
          <w:tcPr>
            <w:tcW w:w="2400" w:type="dxa"/>
          </w:tcPr>
          <w:p>
            <w:pPr>
              <w:pStyle w:val="TableText"/>
            </w:pPr>
            <w:hyperlink r:id="rId111">
              <w:r>
                <w:rPr>
                  <w:color w:val="1F4E79"/>
                  <w:u w:val="single"/>
                </w:rPr>
                <w:t xml:space="preserve">Kanya</w:t>
              </w:r>
            </w:hyperlink>
          </w:p>
        </w:tc>
        <w:tc>
          <w:tcPr>
            <w:tcW w:w="2400" w:type="dxa"/>
          </w:tcPr>
          <w:p>
            <w:pPr>
              <w:pStyle w:val="TableText"/>
            </w:pPr>
            <w:r>
              <w:t xml:space="preserve">कन्या</w:t>
            </w:r>
          </w:p>
        </w:tc>
        <w:tc>
          <w:tcPr>
            <w:tcW w:w="2400" w:type="dxa"/>
          </w:tcPr>
          <w:p>
            <w:pPr>
              <w:pStyle w:val="TableText"/>
            </w:pPr>
            <w:r>
              <w:t xml:space="preserve">17 Sep – 16 Oct</w:t>
            </w:r>
          </w:p>
        </w:tc>
        <w:tc>
          <w:tcPr>
            <w:tcW w:w="2400" w:type="dxa"/>
          </w:tcPr>
          <w:p>
            <w:pPr>
              <w:pStyle w:val="TableText"/>
            </w:pPr>
            <w:r>
              <w:t xml:space="preserve">Budha</w:t>
            </w:r>
          </w:p>
        </w:tc>
        <w:tc>
          <w:tcPr>
            <w:tcW w:w="2400" w:type="dxa"/>
          </w:tcPr>
          <w:p>
            <w:pPr>
              <w:pStyle w:val="TableText"/>
            </w:pPr>
            <w:r>
              <w:t xml:space="preserve">Prithvi</w:t>
            </w:r>
          </w:p>
        </w:tc>
        <w:tc>
          <w:tcPr>
            <w:tcW w:w="2400" w:type="dxa"/>
          </w:tcPr>
          <w:p>
            <w:pPr>
              <w:pStyle w:val="TableText"/>
            </w:pPr>
            <w:r>
              <w:t xml:space="preserve">Dvisvabhava</w:t>
            </w:r>
          </w:p>
        </w:tc>
        <w:tc>
          <w:tcPr>
            <w:tcW w:w="2400" w:type="dxa"/>
          </w:tcPr>
          <w:p>
            <w:pPr>
              <w:pStyle w:val="TableText"/>
            </w:pPr>
            <w:hyperlink r:id="rId112">
              <w:r>
                <w:rPr>
                  <w:color w:val="1F4E79"/>
                  <w:u w:val="single"/>
                </w:rPr>
                <w:t xml:space="preserve">Virgo</w:t>
              </w:r>
            </w:hyperlink>
          </w:p>
        </w:tc>
      </w:tr>
      <w:tr>
        <w:tc>
          <w:tcPr>
            <w:tcW w:w="2400" w:type="dxa"/>
          </w:tcPr>
          <w:p>
            <w:pPr>
              <w:pStyle w:val="TableText"/>
            </w:pPr>
            <w:r>
              <w:t xml:space="preserve">7</w:t>
            </w:r>
          </w:p>
        </w:tc>
        <w:tc>
          <w:tcPr>
            <w:tcW w:w="2400" w:type="dxa"/>
          </w:tcPr>
          <w:p>
            <w:pPr>
              <w:pStyle w:val="TableText"/>
            </w:pPr>
            <w:hyperlink r:id="rId113">
              <w:r>
                <w:rPr>
                  <w:color w:val="1F4E79"/>
                  <w:u w:val="single"/>
                </w:rPr>
                <w:t xml:space="preserve">Tula</w:t>
              </w:r>
            </w:hyperlink>
          </w:p>
        </w:tc>
        <w:tc>
          <w:tcPr>
            <w:tcW w:w="2400" w:type="dxa"/>
          </w:tcPr>
          <w:p>
            <w:pPr>
              <w:pStyle w:val="TableText"/>
            </w:pPr>
            <w:r>
              <w:t xml:space="preserve">तुला</w:t>
            </w:r>
          </w:p>
        </w:tc>
        <w:tc>
          <w:tcPr>
            <w:tcW w:w="2400" w:type="dxa"/>
          </w:tcPr>
          <w:p>
            <w:pPr>
              <w:pStyle w:val="TableText"/>
            </w:pPr>
            <w:r>
              <w:t xml:space="preserve">17 Oct – 15 Nov</w:t>
            </w:r>
          </w:p>
        </w:tc>
        <w:tc>
          <w:tcPr>
            <w:tcW w:w="2400" w:type="dxa"/>
          </w:tcPr>
          <w:p>
            <w:pPr>
              <w:pStyle w:val="TableText"/>
            </w:pPr>
            <w:r>
              <w:t xml:space="preserve">Shukra</w:t>
            </w:r>
          </w:p>
        </w:tc>
        <w:tc>
          <w:tcPr>
            <w:tcW w:w="2400" w:type="dxa"/>
          </w:tcPr>
          <w:p>
            <w:pPr>
              <w:pStyle w:val="TableText"/>
            </w:pPr>
            <w:r>
              <w:t xml:space="preserve">Vayu</w:t>
            </w:r>
          </w:p>
        </w:tc>
        <w:tc>
          <w:tcPr>
            <w:tcW w:w="2400" w:type="dxa"/>
          </w:tcPr>
          <w:p>
            <w:pPr>
              <w:pStyle w:val="TableText"/>
            </w:pPr>
            <w:r>
              <w:t xml:space="preserve">Chara</w:t>
            </w:r>
          </w:p>
        </w:tc>
        <w:tc>
          <w:tcPr>
            <w:tcW w:w="2400" w:type="dxa"/>
          </w:tcPr>
          <w:p>
            <w:pPr>
              <w:pStyle w:val="TableText"/>
            </w:pPr>
            <w:hyperlink r:id="rId114">
              <w:r>
                <w:rPr>
                  <w:color w:val="1F4E79"/>
                  <w:u w:val="single"/>
                </w:rPr>
                <w:t xml:space="preserve">Libra</w:t>
              </w:r>
            </w:hyperlink>
          </w:p>
        </w:tc>
      </w:tr>
      <w:tr>
        <w:tc>
          <w:tcPr>
            <w:tcW w:w="2400" w:type="dxa"/>
          </w:tcPr>
          <w:p>
            <w:pPr>
              <w:pStyle w:val="TableText"/>
            </w:pPr>
            <w:r>
              <w:t xml:space="preserve">8</w:t>
            </w:r>
          </w:p>
        </w:tc>
        <w:tc>
          <w:tcPr>
            <w:tcW w:w="2400" w:type="dxa"/>
          </w:tcPr>
          <w:p>
            <w:pPr>
              <w:pStyle w:val="TableText"/>
            </w:pPr>
            <w:hyperlink r:id="rId115">
              <w:r>
                <w:rPr>
                  <w:color w:val="1F4E79"/>
                  <w:u w:val="single"/>
                </w:rPr>
                <w:t xml:space="preserve">Vrischika</w:t>
              </w:r>
            </w:hyperlink>
          </w:p>
        </w:tc>
        <w:tc>
          <w:tcPr>
            <w:tcW w:w="2400" w:type="dxa"/>
          </w:tcPr>
          <w:p>
            <w:pPr>
              <w:pStyle w:val="TableText"/>
            </w:pPr>
            <w:r>
              <w:t xml:space="preserve">वृश्चिक</w:t>
            </w:r>
          </w:p>
        </w:tc>
        <w:tc>
          <w:tcPr>
            <w:tcW w:w="2400" w:type="dxa"/>
          </w:tcPr>
          <w:p>
            <w:pPr>
              <w:pStyle w:val="TableText"/>
            </w:pPr>
            <w:r>
              <w:t xml:space="preserve">16 Nov – 15 Dec</w:t>
            </w:r>
          </w:p>
        </w:tc>
        <w:tc>
          <w:tcPr>
            <w:tcW w:w="2400" w:type="dxa"/>
          </w:tcPr>
          <w:p>
            <w:pPr>
              <w:pStyle w:val="TableText"/>
            </w:pPr>
            <w:r>
              <w:t xml:space="preserve">Mangala</w:t>
            </w:r>
          </w:p>
        </w:tc>
        <w:tc>
          <w:tcPr>
            <w:tcW w:w="2400" w:type="dxa"/>
          </w:tcPr>
          <w:p>
            <w:pPr>
              <w:pStyle w:val="TableText"/>
            </w:pPr>
            <w:r>
              <w:t xml:space="preserve">Jala</w:t>
            </w:r>
          </w:p>
        </w:tc>
        <w:tc>
          <w:tcPr>
            <w:tcW w:w="2400" w:type="dxa"/>
          </w:tcPr>
          <w:p>
            <w:pPr>
              <w:pStyle w:val="TableText"/>
            </w:pPr>
            <w:r>
              <w:t xml:space="preserve">Sthira</w:t>
            </w:r>
          </w:p>
        </w:tc>
        <w:tc>
          <w:tcPr>
            <w:tcW w:w="2400" w:type="dxa"/>
          </w:tcPr>
          <w:p>
            <w:pPr>
              <w:pStyle w:val="TableText"/>
            </w:pPr>
            <w:hyperlink r:id="rId116">
              <w:r>
                <w:rPr>
                  <w:color w:val="1F4E79"/>
                  <w:u w:val="single"/>
                </w:rPr>
                <w:t xml:space="preserve">Scorpio</w:t>
              </w:r>
            </w:hyperlink>
          </w:p>
        </w:tc>
      </w:tr>
      <w:tr>
        <w:tc>
          <w:tcPr>
            <w:tcW w:w="2400" w:type="dxa"/>
          </w:tcPr>
          <w:p>
            <w:pPr>
              <w:pStyle w:val="TableText"/>
            </w:pPr>
            <w:r>
              <w:t xml:space="preserve">9</w:t>
            </w:r>
          </w:p>
        </w:tc>
        <w:tc>
          <w:tcPr>
            <w:tcW w:w="2400" w:type="dxa"/>
          </w:tcPr>
          <w:p>
            <w:pPr>
              <w:pStyle w:val="TableText"/>
            </w:pPr>
            <w:hyperlink r:id="rId117">
              <w:r>
                <w:rPr>
                  <w:color w:val="1F4E79"/>
                  <w:u w:val="single"/>
                </w:rPr>
                <w:t xml:space="preserve">Dhanu</w:t>
              </w:r>
            </w:hyperlink>
          </w:p>
        </w:tc>
        <w:tc>
          <w:tcPr>
            <w:tcW w:w="2400" w:type="dxa"/>
          </w:tcPr>
          <w:p>
            <w:pPr>
              <w:pStyle w:val="TableText"/>
            </w:pPr>
            <w:r>
              <w:t xml:space="preserve">धनु</w:t>
            </w:r>
          </w:p>
        </w:tc>
        <w:tc>
          <w:tcPr>
            <w:tcW w:w="2400" w:type="dxa"/>
          </w:tcPr>
          <w:p>
            <w:pPr>
              <w:pStyle w:val="TableText"/>
            </w:pPr>
            <w:r>
              <w:t xml:space="preserve">16 Dec – 13 Jan</w:t>
            </w:r>
          </w:p>
        </w:tc>
        <w:tc>
          <w:tcPr>
            <w:tcW w:w="2400" w:type="dxa"/>
          </w:tcPr>
          <w:p>
            <w:pPr>
              <w:pStyle w:val="TableText"/>
            </w:pPr>
            <w:r>
              <w:t xml:space="preserve">Brihaspati</w:t>
            </w:r>
          </w:p>
        </w:tc>
        <w:tc>
          <w:tcPr>
            <w:tcW w:w="2400" w:type="dxa"/>
          </w:tcPr>
          <w:p>
            <w:pPr>
              <w:pStyle w:val="TableText"/>
            </w:pPr>
            <w:r>
              <w:t xml:space="preserve">Agni</w:t>
            </w:r>
          </w:p>
        </w:tc>
        <w:tc>
          <w:tcPr>
            <w:tcW w:w="2400" w:type="dxa"/>
          </w:tcPr>
          <w:p>
            <w:pPr>
              <w:pStyle w:val="TableText"/>
            </w:pPr>
            <w:r>
              <w:t xml:space="preserve">Dvisvabhava</w:t>
            </w:r>
          </w:p>
        </w:tc>
        <w:tc>
          <w:tcPr>
            <w:tcW w:w="2400" w:type="dxa"/>
          </w:tcPr>
          <w:p>
            <w:pPr>
              <w:pStyle w:val="TableText"/>
            </w:pPr>
            <w:hyperlink r:id="rId118">
              <w:r>
                <w:rPr>
                  <w:color w:val="1F4E79"/>
                  <w:u w:val="single"/>
                </w:rPr>
                <w:t xml:space="preserve">Sagittarius</w:t>
              </w:r>
            </w:hyperlink>
          </w:p>
        </w:tc>
      </w:tr>
      <w:tr>
        <w:tc>
          <w:tcPr>
            <w:tcW w:w="2400" w:type="dxa"/>
          </w:tcPr>
          <w:p>
            <w:pPr>
              <w:pStyle w:val="TableText"/>
            </w:pPr>
            <w:r>
              <w:t xml:space="preserve">10</w:t>
            </w:r>
          </w:p>
        </w:tc>
        <w:tc>
          <w:tcPr>
            <w:tcW w:w="2400" w:type="dxa"/>
          </w:tcPr>
          <w:p>
            <w:pPr>
              <w:pStyle w:val="TableText"/>
            </w:pPr>
            <w:hyperlink r:id="rId119">
              <w:r>
                <w:rPr>
                  <w:color w:val="1F4E79"/>
                  <w:u w:val="single"/>
                </w:rPr>
                <w:t xml:space="preserve">Makara</w:t>
              </w:r>
            </w:hyperlink>
          </w:p>
        </w:tc>
        <w:tc>
          <w:tcPr>
            <w:tcW w:w="2400" w:type="dxa"/>
          </w:tcPr>
          <w:p>
            <w:pPr>
              <w:pStyle w:val="TableText"/>
            </w:pPr>
            <w:r>
              <w:t xml:space="preserve">मकर</w:t>
            </w:r>
          </w:p>
        </w:tc>
        <w:tc>
          <w:tcPr>
            <w:tcW w:w="2400" w:type="dxa"/>
          </w:tcPr>
          <w:p>
            <w:pPr>
              <w:pStyle w:val="TableText"/>
            </w:pPr>
            <w:r>
              <w:t xml:space="preserve">14 Jan – 12 Feb</w:t>
            </w:r>
          </w:p>
        </w:tc>
        <w:tc>
          <w:tcPr>
            <w:tcW w:w="2400" w:type="dxa"/>
          </w:tcPr>
          <w:p>
            <w:pPr>
              <w:pStyle w:val="TableText"/>
            </w:pPr>
            <w:r>
              <w:t xml:space="preserve">Shani</w:t>
            </w:r>
          </w:p>
        </w:tc>
        <w:tc>
          <w:tcPr>
            <w:tcW w:w="2400" w:type="dxa"/>
          </w:tcPr>
          <w:p>
            <w:pPr>
              <w:pStyle w:val="TableText"/>
            </w:pPr>
            <w:r>
              <w:t xml:space="preserve">Prithvi</w:t>
            </w:r>
          </w:p>
        </w:tc>
        <w:tc>
          <w:tcPr>
            <w:tcW w:w="2400" w:type="dxa"/>
          </w:tcPr>
          <w:p>
            <w:pPr>
              <w:pStyle w:val="TableText"/>
            </w:pPr>
            <w:r>
              <w:t xml:space="preserve">Chara</w:t>
            </w:r>
          </w:p>
        </w:tc>
        <w:tc>
          <w:tcPr>
            <w:tcW w:w="2400" w:type="dxa"/>
          </w:tcPr>
          <w:p>
            <w:pPr>
              <w:pStyle w:val="TableText"/>
            </w:pPr>
            <w:hyperlink r:id="rId120">
              <w:r>
                <w:rPr>
                  <w:color w:val="1F4E79"/>
                  <w:u w:val="single"/>
                </w:rPr>
                <w:t xml:space="preserve">Capricorn</w:t>
              </w:r>
            </w:hyperlink>
          </w:p>
        </w:tc>
      </w:tr>
      <w:tr>
        <w:tc>
          <w:tcPr>
            <w:tcW w:w="2400" w:type="dxa"/>
          </w:tcPr>
          <w:p>
            <w:pPr>
              <w:pStyle w:val="TableText"/>
            </w:pPr>
            <w:r>
              <w:t xml:space="preserve">11</w:t>
            </w:r>
          </w:p>
        </w:tc>
        <w:tc>
          <w:tcPr>
            <w:tcW w:w="2400" w:type="dxa"/>
          </w:tcPr>
          <w:p>
            <w:pPr>
              <w:pStyle w:val="TableText"/>
            </w:pPr>
            <w:hyperlink r:id="rId121">
              <w:r>
                <w:rPr>
                  <w:color w:val="1F4E79"/>
                  <w:u w:val="single"/>
                </w:rPr>
                <w:t xml:space="preserve">Kumbha</w:t>
              </w:r>
            </w:hyperlink>
          </w:p>
        </w:tc>
        <w:tc>
          <w:tcPr>
            <w:tcW w:w="2400" w:type="dxa"/>
          </w:tcPr>
          <w:p>
            <w:pPr>
              <w:pStyle w:val="TableText"/>
            </w:pPr>
            <w:r>
              <w:t xml:space="preserve">कुम्भ</w:t>
            </w:r>
          </w:p>
        </w:tc>
        <w:tc>
          <w:tcPr>
            <w:tcW w:w="2400" w:type="dxa"/>
          </w:tcPr>
          <w:p>
            <w:pPr>
              <w:pStyle w:val="TableText"/>
            </w:pPr>
            <w:r>
              <w:t xml:space="preserve">13 Feb – 13 Mar</w:t>
            </w:r>
          </w:p>
        </w:tc>
        <w:tc>
          <w:tcPr>
            <w:tcW w:w="2400" w:type="dxa"/>
          </w:tcPr>
          <w:p>
            <w:pPr>
              <w:pStyle w:val="TableText"/>
            </w:pPr>
            <w:r>
              <w:t xml:space="preserve">Shani</w:t>
            </w:r>
          </w:p>
        </w:tc>
        <w:tc>
          <w:tcPr>
            <w:tcW w:w="2400" w:type="dxa"/>
          </w:tcPr>
          <w:p>
            <w:pPr>
              <w:pStyle w:val="TableText"/>
            </w:pPr>
            <w:r>
              <w:t xml:space="preserve">Vayu</w:t>
            </w:r>
          </w:p>
        </w:tc>
        <w:tc>
          <w:tcPr>
            <w:tcW w:w="2400" w:type="dxa"/>
          </w:tcPr>
          <w:p>
            <w:pPr>
              <w:pStyle w:val="TableText"/>
            </w:pPr>
            <w:r>
              <w:t xml:space="preserve">Sthira</w:t>
            </w:r>
          </w:p>
        </w:tc>
        <w:tc>
          <w:tcPr>
            <w:tcW w:w="2400" w:type="dxa"/>
          </w:tcPr>
          <w:p>
            <w:pPr>
              <w:pStyle w:val="TableText"/>
            </w:pPr>
            <w:hyperlink r:id="rId122">
              <w:r>
                <w:rPr>
                  <w:color w:val="1F4E79"/>
                  <w:u w:val="single"/>
                </w:rPr>
                <w:t xml:space="preserve">Aquarius</w:t>
              </w:r>
            </w:hyperlink>
          </w:p>
        </w:tc>
      </w:tr>
      <w:tr>
        <w:tc>
          <w:tcPr>
            <w:tcW w:w="2400" w:type="dxa"/>
          </w:tcPr>
          <w:p>
            <w:pPr>
              <w:pStyle w:val="TableText"/>
            </w:pPr>
            <w:r>
              <w:t xml:space="preserve">12</w:t>
            </w:r>
          </w:p>
        </w:tc>
        <w:tc>
          <w:tcPr>
            <w:tcW w:w="2400" w:type="dxa"/>
          </w:tcPr>
          <w:p>
            <w:pPr>
              <w:pStyle w:val="TableText"/>
            </w:pPr>
            <w:hyperlink r:id="rId123">
              <w:r>
                <w:rPr>
                  <w:color w:val="1F4E79"/>
                  <w:u w:val="single"/>
                </w:rPr>
                <w:t xml:space="preserve">Meena</w:t>
              </w:r>
            </w:hyperlink>
          </w:p>
        </w:tc>
        <w:tc>
          <w:tcPr>
            <w:tcW w:w="2400" w:type="dxa"/>
          </w:tcPr>
          <w:p>
            <w:pPr>
              <w:pStyle w:val="TableText"/>
            </w:pPr>
            <w:r>
              <w:t xml:space="preserve">मीन</w:t>
            </w:r>
          </w:p>
        </w:tc>
        <w:tc>
          <w:tcPr>
            <w:tcW w:w="2400" w:type="dxa"/>
          </w:tcPr>
          <w:p>
            <w:pPr>
              <w:pStyle w:val="TableText"/>
            </w:pPr>
            <w:r>
              <w:t xml:space="preserve">14 Mar – 13 Apr</w:t>
            </w:r>
          </w:p>
        </w:tc>
        <w:tc>
          <w:tcPr>
            <w:tcW w:w="2400" w:type="dxa"/>
          </w:tcPr>
          <w:p>
            <w:pPr>
              <w:pStyle w:val="TableText"/>
            </w:pPr>
            <w:r>
              <w:t xml:space="preserve">Brihaspati</w:t>
            </w:r>
          </w:p>
        </w:tc>
        <w:tc>
          <w:tcPr>
            <w:tcW w:w="2400" w:type="dxa"/>
          </w:tcPr>
          <w:p>
            <w:pPr>
              <w:pStyle w:val="TableText"/>
            </w:pPr>
            <w:r>
              <w:t xml:space="preserve">Jala</w:t>
            </w:r>
          </w:p>
        </w:tc>
        <w:tc>
          <w:tcPr>
            <w:tcW w:w="2400" w:type="dxa"/>
          </w:tcPr>
          <w:p>
            <w:pPr>
              <w:pStyle w:val="TableText"/>
            </w:pPr>
            <w:r>
              <w:t xml:space="preserve">Dvisvabhava</w:t>
            </w:r>
          </w:p>
        </w:tc>
        <w:tc>
          <w:tcPr>
            <w:tcW w:w="2400" w:type="dxa"/>
          </w:tcPr>
          <w:p>
            <w:pPr>
              <w:pStyle w:val="TableText"/>
            </w:pPr>
            <w:hyperlink r:id="rId124">
              <w:r>
                <w:rPr>
                  <w:color w:val="1F4E79"/>
                  <w:u w:val="single"/>
                </w:rPr>
                <w:t xml:space="preserve">Pisces</w:t>
              </w:r>
            </w:hyperlink>
          </w:p>
        </w:tc>
      </w:tr>
    </w:tbl>
    <w:p/>
    <w:p>
      <w:pPr>
        <w:pStyle w:val="Heading2"/>
      </w:pPr>
      <w:r>
        <w:t xml:space="preserve">The twenty-seven nakshatras</w:t>
      </w:r>
    </w:p>
    <w:p>
      <w:r>
        <w:t xml:space="preserve">Each nakshatra spans 13°20′ and divides into four </w:t>
      </w:r>
      <w:r>
        <w:rPr>
          <w:i/>
        </w:rPr>
        <w:t xml:space="preserve">padas</w:t>
      </w:r>
      <w:r>
        <w:t xml:space="preserve"> of 3°20′. Two and a quarter nakshatras — nine padas — fit inside each rashi, which is why so many nakshatras straddle a sign boundary. The presiding deities are Vedic; the ruling grahas are the lords of the Vimshottari dasha cycle.</w:t>
      </w:r>
    </w:p>
    <w:tbl>
      <w:tblPr>
        <w:tblStyle w:val="TableGrid"/>
        <w:tblW w:w="0" w:type="auto"/>
      </w:tblPr>
      <w:tblGrid>
        <w:gridCol w:w="2400"/>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Nakshatra</w:t>
            </w:r>
          </w:p>
        </w:tc>
        <w:tc>
          <w:tcPr>
            <w:tcW w:w="2400" w:type="dxa"/>
          </w:tcPr>
          <w:p>
            <w:pPr>
              <w:pStyle w:val="TableText"/>
            </w:pPr>
            <w:r>
              <w:rPr>
                <w:b/>
              </w:rPr>
              <w:t xml:space="preserve">Sidereal span</w:t>
            </w:r>
          </w:p>
        </w:tc>
        <w:tc>
          <w:tcPr>
            <w:tcW w:w="2400" w:type="dxa"/>
          </w:tcPr>
          <w:p>
            <w:pPr>
              <w:pStyle w:val="TableText"/>
            </w:pPr>
            <w:r>
              <w:rPr>
                <w:b/>
              </w:rPr>
              <w:t xml:space="preserve">Rashi</w:t>
            </w:r>
          </w:p>
        </w:tc>
        <w:tc>
          <w:tcPr>
            <w:tcW w:w="2400" w:type="dxa"/>
          </w:tcPr>
          <w:p>
            <w:pPr>
              <w:pStyle w:val="TableText"/>
            </w:pPr>
            <w:r>
              <w:rPr>
                <w:b/>
              </w:rPr>
              <w:t xml:space="preserve">Presiding deity</w:t>
            </w:r>
          </w:p>
        </w:tc>
        <w:tc>
          <w:tcPr>
            <w:tcW w:w="2400" w:type="dxa"/>
          </w:tcPr>
          <w:p>
            <w:pPr>
              <w:pStyle w:val="TableText"/>
            </w:pPr>
            <w:r>
              <w:rPr>
                <w:b/>
              </w:rPr>
              <w:t xml:space="preserve">Graha</w:t>
            </w:r>
          </w:p>
        </w:tc>
      </w:tr>
      <w:tr>
        <w:tc>
          <w:tcPr>
            <w:tcW w:w="2400" w:type="dxa"/>
          </w:tcPr>
          <w:p>
            <w:pPr>
              <w:pStyle w:val="TableText"/>
            </w:pPr>
            <w:r>
              <w:t xml:space="preserve">1</w:t>
            </w:r>
          </w:p>
        </w:tc>
        <w:tc>
          <w:tcPr>
            <w:tcW w:w="2400" w:type="dxa"/>
          </w:tcPr>
          <w:p>
            <w:pPr>
              <w:pStyle w:val="TableText"/>
            </w:pPr>
            <w:r>
              <w:t xml:space="preserve">Ashwini</w:t>
            </w:r>
          </w:p>
        </w:tc>
        <w:tc>
          <w:tcPr>
            <w:tcW w:w="2400" w:type="dxa"/>
          </w:tcPr>
          <w:p>
            <w:pPr>
              <w:pStyle w:val="TableText"/>
            </w:pPr>
            <w:r>
              <w:t xml:space="preserve">0°00′–13°20′</w:t>
            </w:r>
          </w:p>
        </w:tc>
        <w:tc>
          <w:tcPr>
            <w:tcW w:w="2400" w:type="dxa"/>
          </w:tcPr>
          <w:p>
            <w:pPr>
              <w:pStyle w:val="TableText"/>
            </w:pPr>
            <w:r>
              <w:t xml:space="preserve">Mesha</w:t>
            </w:r>
          </w:p>
        </w:tc>
        <w:tc>
          <w:tcPr>
            <w:tcW w:w="2400" w:type="dxa"/>
          </w:tcPr>
          <w:p>
            <w:pPr>
              <w:pStyle w:val="TableText"/>
            </w:pPr>
            <w:r>
              <w:t xml:space="preserve">Ashvini Kumaras</w:t>
            </w:r>
          </w:p>
        </w:tc>
        <w:tc>
          <w:tcPr>
            <w:tcW w:w="2400" w:type="dxa"/>
          </w:tcPr>
          <w:p>
            <w:pPr>
              <w:pStyle w:val="TableText"/>
            </w:pPr>
            <w:r>
              <w:t xml:space="preserve">Ketu</w:t>
            </w:r>
          </w:p>
        </w:tc>
      </w:tr>
      <w:tr>
        <w:tc>
          <w:tcPr>
            <w:tcW w:w="2400" w:type="dxa"/>
          </w:tcPr>
          <w:p>
            <w:pPr>
              <w:pStyle w:val="TableText"/>
            </w:pPr>
            <w:r>
              <w:t xml:space="preserve">2</w:t>
            </w:r>
          </w:p>
        </w:tc>
        <w:tc>
          <w:tcPr>
            <w:tcW w:w="2400" w:type="dxa"/>
          </w:tcPr>
          <w:p>
            <w:pPr>
              <w:pStyle w:val="TableText"/>
            </w:pPr>
            <w:r>
              <w:t xml:space="preserve">Bharani</w:t>
            </w:r>
          </w:p>
        </w:tc>
        <w:tc>
          <w:tcPr>
            <w:tcW w:w="2400" w:type="dxa"/>
          </w:tcPr>
          <w:p>
            <w:pPr>
              <w:pStyle w:val="TableText"/>
            </w:pPr>
            <w:r>
              <w:t xml:space="preserve">13°20′–26°40′</w:t>
            </w:r>
          </w:p>
        </w:tc>
        <w:tc>
          <w:tcPr>
            <w:tcW w:w="2400" w:type="dxa"/>
          </w:tcPr>
          <w:p>
            <w:pPr>
              <w:pStyle w:val="TableText"/>
            </w:pPr>
            <w:r>
              <w:t xml:space="preserve">Mesha</w:t>
            </w:r>
          </w:p>
        </w:tc>
        <w:tc>
          <w:tcPr>
            <w:tcW w:w="2400" w:type="dxa"/>
          </w:tcPr>
          <w:p>
            <w:pPr>
              <w:pStyle w:val="TableText"/>
            </w:pPr>
            <w:r>
              <w:t xml:space="preserve">Yama</w:t>
            </w:r>
          </w:p>
        </w:tc>
        <w:tc>
          <w:tcPr>
            <w:tcW w:w="2400" w:type="dxa"/>
          </w:tcPr>
          <w:p>
            <w:pPr>
              <w:pStyle w:val="TableText"/>
            </w:pPr>
            <w:r>
              <w:t xml:space="preserve">Shukra</w:t>
            </w:r>
          </w:p>
        </w:tc>
      </w:tr>
      <w:tr>
        <w:tc>
          <w:tcPr>
            <w:tcW w:w="2400" w:type="dxa"/>
          </w:tcPr>
          <w:p>
            <w:pPr>
              <w:pStyle w:val="TableText"/>
            </w:pPr>
            <w:r>
              <w:t xml:space="preserve">3</w:t>
            </w:r>
          </w:p>
        </w:tc>
        <w:tc>
          <w:tcPr>
            <w:tcW w:w="2400" w:type="dxa"/>
          </w:tcPr>
          <w:p>
            <w:pPr>
              <w:pStyle w:val="TableText"/>
            </w:pPr>
            <w:r>
              <w:t xml:space="preserve">Krittika</w:t>
            </w:r>
          </w:p>
        </w:tc>
        <w:tc>
          <w:tcPr>
            <w:tcW w:w="2400" w:type="dxa"/>
          </w:tcPr>
          <w:p>
            <w:pPr>
              <w:pStyle w:val="TableText"/>
            </w:pPr>
            <w:r>
              <w:t xml:space="preserve">26°40′–40°00′</w:t>
            </w:r>
          </w:p>
        </w:tc>
        <w:tc>
          <w:tcPr>
            <w:tcW w:w="2400" w:type="dxa"/>
          </w:tcPr>
          <w:p>
            <w:pPr>
              <w:pStyle w:val="TableText"/>
            </w:pPr>
            <w:r>
              <w:t xml:space="preserve">Mesha / Vrishabha</w:t>
            </w:r>
          </w:p>
        </w:tc>
        <w:tc>
          <w:tcPr>
            <w:tcW w:w="2400" w:type="dxa"/>
          </w:tcPr>
          <w:p>
            <w:pPr>
              <w:pStyle w:val="TableText"/>
            </w:pPr>
            <w:r>
              <w:t xml:space="preserve">Agni</w:t>
            </w:r>
          </w:p>
        </w:tc>
        <w:tc>
          <w:tcPr>
            <w:tcW w:w="2400" w:type="dxa"/>
          </w:tcPr>
          <w:p>
            <w:pPr>
              <w:pStyle w:val="TableText"/>
            </w:pPr>
            <w:r>
              <w:t xml:space="preserve">Surya</w:t>
            </w:r>
          </w:p>
        </w:tc>
      </w:tr>
      <w:tr>
        <w:tc>
          <w:tcPr>
            <w:tcW w:w="2400" w:type="dxa"/>
          </w:tcPr>
          <w:p>
            <w:pPr>
              <w:pStyle w:val="TableText"/>
            </w:pPr>
            <w:r>
              <w:t xml:space="preserve">4</w:t>
            </w:r>
          </w:p>
        </w:tc>
        <w:tc>
          <w:tcPr>
            <w:tcW w:w="2400" w:type="dxa"/>
          </w:tcPr>
          <w:p>
            <w:pPr>
              <w:pStyle w:val="TableText"/>
            </w:pPr>
            <w:r>
              <w:t xml:space="preserve">Rohini</w:t>
            </w:r>
          </w:p>
        </w:tc>
        <w:tc>
          <w:tcPr>
            <w:tcW w:w="2400" w:type="dxa"/>
          </w:tcPr>
          <w:p>
            <w:pPr>
              <w:pStyle w:val="TableText"/>
            </w:pPr>
            <w:r>
              <w:t xml:space="preserve">40°00′–53°20′</w:t>
            </w:r>
          </w:p>
        </w:tc>
        <w:tc>
          <w:tcPr>
            <w:tcW w:w="2400" w:type="dxa"/>
          </w:tcPr>
          <w:p>
            <w:pPr>
              <w:pStyle w:val="TableText"/>
            </w:pPr>
            <w:r>
              <w:t xml:space="preserve">Vrishabha</w:t>
            </w:r>
          </w:p>
        </w:tc>
        <w:tc>
          <w:tcPr>
            <w:tcW w:w="2400" w:type="dxa"/>
          </w:tcPr>
          <w:p>
            <w:pPr>
              <w:pStyle w:val="TableText"/>
            </w:pPr>
            <w:r>
              <w:t xml:space="preserve">Prajapati</w:t>
            </w:r>
          </w:p>
        </w:tc>
        <w:tc>
          <w:tcPr>
            <w:tcW w:w="2400" w:type="dxa"/>
          </w:tcPr>
          <w:p>
            <w:pPr>
              <w:pStyle w:val="TableText"/>
            </w:pPr>
            <w:r>
              <w:t xml:space="preserve">Chandra</w:t>
            </w:r>
          </w:p>
        </w:tc>
      </w:tr>
      <w:tr>
        <w:tc>
          <w:tcPr>
            <w:tcW w:w="2400" w:type="dxa"/>
          </w:tcPr>
          <w:p>
            <w:pPr>
              <w:pStyle w:val="TableText"/>
            </w:pPr>
            <w:r>
              <w:t xml:space="preserve">5</w:t>
            </w:r>
          </w:p>
        </w:tc>
        <w:tc>
          <w:tcPr>
            <w:tcW w:w="2400" w:type="dxa"/>
          </w:tcPr>
          <w:p>
            <w:pPr>
              <w:pStyle w:val="TableText"/>
            </w:pPr>
            <w:r>
              <w:t xml:space="preserve">Mrigashira</w:t>
            </w:r>
          </w:p>
        </w:tc>
        <w:tc>
          <w:tcPr>
            <w:tcW w:w="2400" w:type="dxa"/>
          </w:tcPr>
          <w:p>
            <w:pPr>
              <w:pStyle w:val="TableText"/>
            </w:pPr>
            <w:r>
              <w:t xml:space="preserve">53°20′–66°40′</w:t>
            </w:r>
          </w:p>
        </w:tc>
        <w:tc>
          <w:tcPr>
            <w:tcW w:w="2400" w:type="dxa"/>
          </w:tcPr>
          <w:p>
            <w:pPr>
              <w:pStyle w:val="TableText"/>
            </w:pPr>
            <w:r>
              <w:t xml:space="preserve">Vrishabha / Mithuna</w:t>
            </w:r>
          </w:p>
        </w:tc>
        <w:tc>
          <w:tcPr>
            <w:tcW w:w="2400" w:type="dxa"/>
          </w:tcPr>
          <w:p>
            <w:pPr>
              <w:pStyle w:val="TableText"/>
            </w:pPr>
            <w:r>
              <w:t xml:space="preserve">Soma</w:t>
            </w:r>
          </w:p>
        </w:tc>
        <w:tc>
          <w:tcPr>
            <w:tcW w:w="2400" w:type="dxa"/>
          </w:tcPr>
          <w:p>
            <w:pPr>
              <w:pStyle w:val="TableText"/>
            </w:pPr>
            <w:r>
              <w:t xml:space="preserve">Mangala</w:t>
            </w:r>
          </w:p>
        </w:tc>
      </w:tr>
      <w:tr>
        <w:tc>
          <w:tcPr>
            <w:tcW w:w="2400" w:type="dxa"/>
          </w:tcPr>
          <w:p>
            <w:pPr>
              <w:pStyle w:val="TableText"/>
            </w:pPr>
            <w:r>
              <w:t xml:space="preserve">6</w:t>
            </w:r>
          </w:p>
        </w:tc>
        <w:tc>
          <w:tcPr>
            <w:tcW w:w="2400" w:type="dxa"/>
          </w:tcPr>
          <w:p>
            <w:pPr>
              <w:pStyle w:val="TableText"/>
            </w:pPr>
            <w:r>
              <w:t xml:space="preserve">Ardra</w:t>
            </w:r>
          </w:p>
        </w:tc>
        <w:tc>
          <w:tcPr>
            <w:tcW w:w="2400" w:type="dxa"/>
          </w:tcPr>
          <w:p>
            <w:pPr>
              <w:pStyle w:val="TableText"/>
            </w:pPr>
            <w:r>
              <w:t xml:space="preserve">66°40′–80°00′</w:t>
            </w:r>
          </w:p>
        </w:tc>
        <w:tc>
          <w:tcPr>
            <w:tcW w:w="2400" w:type="dxa"/>
          </w:tcPr>
          <w:p>
            <w:pPr>
              <w:pStyle w:val="TableText"/>
            </w:pPr>
            <w:r>
              <w:t xml:space="preserve">Mithuna</w:t>
            </w:r>
          </w:p>
        </w:tc>
        <w:tc>
          <w:tcPr>
            <w:tcW w:w="2400" w:type="dxa"/>
          </w:tcPr>
          <w:p>
            <w:pPr>
              <w:pStyle w:val="TableText"/>
            </w:pPr>
            <w:r>
              <w:t xml:space="preserve">Rudra</w:t>
            </w:r>
          </w:p>
        </w:tc>
        <w:tc>
          <w:tcPr>
            <w:tcW w:w="2400" w:type="dxa"/>
          </w:tcPr>
          <w:p>
            <w:pPr>
              <w:pStyle w:val="TableText"/>
            </w:pPr>
            <w:r>
              <w:t xml:space="preserve">Rahu</w:t>
            </w:r>
          </w:p>
        </w:tc>
      </w:tr>
      <w:tr>
        <w:tc>
          <w:tcPr>
            <w:tcW w:w="2400" w:type="dxa"/>
          </w:tcPr>
          <w:p>
            <w:pPr>
              <w:pStyle w:val="TableText"/>
            </w:pPr>
            <w:r>
              <w:t xml:space="preserve">7</w:t>
            </w:r>
          </w:p>
        </w:tc>
        <w:tc>
          <w:tcPr>
            <w:tcW w:w="2400" w:type="dxa"/>
          </w:tcPr>
          <w:p>
            <w:pPr>
              <w:pStyle w:val="TableText"/>
            </w:pPr>
            <w:r>
              <w:t xml:space="preserve">Punarvasu</w:t>
            </w:r>
          </w:p>
        </w:tc>
        <w:tc>
          <w:tcPr>
            <w:tcW w:w="2400" w:type="dxa"/>
          </w:tcPr>
          <w:p>
            <w:pPr>
              <w:pStyle w:val="TableText"/>
            </w:pPr>
            <w:r>
              <w:t xml:space="preserve">80°00′–93°20′</w:t>
            </w:r>
          </w:p>
        </w:tc>
        <w:tc>
          <w:tcPr>
            <w:tcW w:w="2400" w:type="dxa"/>
          </w:tcPr>
          <w:p>
            <w:pPr>
              <w:pStyle w:val="TableText"/>
            </w:pPr>
            <w:r>
              <w:t xml:space="preserve">Mithuna / Karka</w:t>
            </w:r>
          </w:p>
        </w:tc>
        <w:tc>
          <w:tcPr>
            <w:tcW w:w="2400" w:type="dxa"/>
          </w:tcPr>
          <w:p>
            <w:pPr>
              <w:pStyle w:val="TableText"/>
            </w:pPr>
            <w:r>
              <w:t xml:space="preserve">Aditi</w:t>
            </w:r>
          </w:p>
        </w:tc>
        <w:tc>
          <w:tcPr>
            <w:tcW w:w="2400" w:type="dxa"/>
          </w:tcPr>
          <w:p>
            <w:pPr>
              <w:pStyle w:val="TableText"/>
            </w:pPr>
            <w:r>
              <w:t xml:space="preserve">Brihaspati</w:t>
            </w:r>
          </w:p>
        </w:tc>
      </w:tr>
      <w:tr>
        <w:tc>
          <w:tcPr>
            <w:tcW w:w="2400" w:type="dxa"/>
          </w:tcPr>
          <w:p>
            <w:pPr>
              <w:pStyle w:val="TableText"/>
            </w:pPr>
            <w:r>
              <w:t xml:space="preserve">8</w:t>
            </w:r>
          </w:p>
        </w:tc>
        <w:tc>
          <w:tcPr>
            <w:tcW w:w="2400" w:type="dxa"/>
          </w:tcPr>
          <w:p>
            <w:pPr>
              <w:pStyle w:val="TableText"/>
            </w:pPr>
            <w:r>
              <w:t xml:space="preserve">Pushya</w:t>
            </w:r>
          </w:p>
        </w:tc>
        <w:tc>
          <w:tcPr>
            <w:tcW w:w="2400" w:type="dxa"/>
          </w:tcPr>
          <w:p>
            <w:pPr>
              <w:pStyle w:val="TableText"/>
            </w:pPr>
            <w:r>
              <w:t xml:space="preserve">93°20′–106°40′</w:t>
            </w:r>
          </w:p>
        </w:tc>
        <w:tc>
          <w:tcPr>
            <w:tcW w:w="2400" w:type="dxa"/>
          </w:tcPr>
          <w:p>
            <w:pPr>
              <w:pStyle w:val="TableText"/>
            </w:pPr>
            <w:r>
              <w:t xml:space="preserve">Karka</w:t>
            </w:r>
          </w:p>
        </w:tc>
        <w:tc>
          <w:tcPr>
            <w:tcW w:w="2400" w:type="dxa"/>
          </w:tcPr>
          <w:p>
            <w:pPr>
              <w:pStyle w:val="TableText"/>
            </w:pPr>
            <w:r>
              <w:t xml:space="preserve">Brihaspati</w:t>
            </w:r>
          </w:p>
        </w:tc>
        <w:tc>
          <w:tcPr>
            <w:tcW w:w="2400" w:type="dxa"/>
          </w:tcPr>
          <w:p>
            <w:pPr>
              <w:pStyle w:val="TableText"/>
            </w:pPr>
            <w:r>
              <w:t xml:space="preserve">Shani</w:t>
            </w:r>
          </w:p>
        </w:tc>
      </w:tr>
      <w:tr>
        <w:tc>
          <w:tcPr>
            <w:tcW w:w="2400" w:type="dxa"/>
          </w:tcPr>
          <w:p>
            <w:pPr>
              <w:pStyle w:val="TableText"/>
            </w:pPr>
            <w:r>
              <w:t xml:space="preserve">9</w:t>
            </w:r>
          </w:p>
        </w:tc>
        <w:tc>
          <w:tcPr>
            <w:tcW w:w="2400" w:type="dxa"/>
          </w:tcPr>
          <w:p>
            <w:pPr>
              <w:pStyle w:val="TableText"/>
            </w:pPr>
            <w:r>
              <w:t xml:space="preserve">Ashlesha</w:t>
            </w:r>
          </w:p>
        </w:tc>
        <w:tc>
          <w:tcPr>
            <w:tcW w:w="2400" w:type="dxa"/>
          </w:tcPr>
          <w:p>
            <w:pPr>
              <w:pStyle w:val="TableText"/>
            </w:pPr>
            <w:r>
              <w:t xml:space="preserve">106°40′–120°00′</w:t>
            </w:r>
          </w:p>
        </w:tc>
        <w:tc>
          <w:tcPr>
            <w:tcW w:w="2400" w:type="dxa"/>
          </w:tcPr>
          <w:p>
            <w:pPr>
              <w:pStyle w:val="TableText"/>
            </w:pPr>
            <w:r>
              <w:t xml:space="preserve">Karka</w:t>
            </w:r>
          </w:p>
        </w:tc>
        <w:tc>
          <w:tcPr>
            <w:tcW w:w="2400" w:type="dxa"/>
          </w:tcPr>
          <w:p>
            <w:pPr>
              <w:pStyle w:val="TableText"/>
            </w:pPr>
            <w:r>
              <w:t xml:space="preserve">the Nagas</w:t>
            </w:r>
          </w:p>
        </w:tc>
        <w:tc>
          <w:tcPr>
            <w:tcW w:w="2400" w:type="dxa"/>
          </w:tcPr>
          <w:p>
            <w:pPr>
              <w:pStyle w:val="TableText"/>
            </w:pPr>
            <w:r>
              <w:t xml:space="preserve">Budha</w:t>
            </w:r>
          </w:p>
        </w:tc>
      </w:tr>
      <w:tr>
        <w:tc>
          <w:tcPr>
            <w:tcW w:w="2400" w:type="dxa"/>
          </w:tcPr>
          <w:p>
            <w:pPr>
              <w:pStyle w:val="TableText"/>
            </w:pPr>
            <w:r>
              <w:t xml:space="preserve">10</w:t>
            </w:r>
          </w:p>
        </w:tc>
        <w:tc>
          <w:tcPr>
            <w:tcW w:w="2400" w:type="dxa"/>
          </w:tcPr>
          <w:p>
            <w:pPr>
              <w:pStyle w:val="TableText"/>
            </w:pPr>
            <w:r>
              <w:t xml:space="preserve">Magha</w:t>
            </w:r>
          </w:p>
        </w:tc>
        <w:tc>
          <w:tcPr>
            <w:tcW w:w="2400" w:type="dxa"/>
          </w:tcPr>
          <w:p>
            <w:pPr>
              <w:pStyle w:val="TableText"/>
            </w:pPr>
            <w:r>
              <w:t xml:space="preserve">120°00′–133°20′</w:t>
            </w:r>
          </w:p>
        </w:tc>
        <w:tc>
          <w:tcPr>
            <w:tcW w:w="2400" w:type="dxa"/>
          </w:tcPr>
          <w:p>
            <w:pPr>
              <w:pStyle w:val="TableText"/>
            </w:pPr>
            <w:r>
              <w:t xml:space="preserve">Simha</w:t>
            </w:r>
          </w:p>
        </w:tc>
        <w:tc>
          <w:tcPr>
            <w:tcW w:w="2400" w:type="dxa"/>
          </w:tcPr>
          <w:p>
            <w:pPr>
              <w:pStyle w:val="TableText"/>
            </w:pPr>
            <w:r>
              <w:t xml:space="preserve">the Pitrs</w:t>
            </w:r>
          </w:p>
        </w:tc>
        <w:tc>
          <w:tcPr>
            <w:tcW w:w="2400" w:type="dxa"/>
          </w:tcPr>
          <w:p>
            <w:pPr>
              <w:pStyle w:val="TableText"/>
            </w:pPr>
            <w:r>
              <w:t xml:space="preserve">Ketu</w:t>
            </w:r>
          </w:p>
        </w:tc>
      </w:tr>
      <w:tr>
        <w:tc>
          <w:tcPr>
            <w:tcW w:w="2400" w:type="dxa"/>
          </w:tcPr>
          <w:p>
            <w:pPr>
              <w:pStyle w:val="TableText"/>
            </w:pPr>
            <w:r>
              <w:t xml:space="preserve">11</w:t>
            </w:r>
          </w:p>
        </w:tc>
        <w:tc>
          <w:tcPr>
            <w:tcW w:w="2400" w:type="dxa"/>
          </w:tcPr>
          <w:p>
            <w:pPr>
              <w:pStyle w:val="TableText"/>
            </w:pPr>
            <w:r>
              <w:t xml:space="preserve">Purva Phalguni</w:t>
            </w:r>
          </w:p>
        </w:tc>
        <w:tc>
          <w:tcPr>
            <w:tcW w:w="2400" w:type="dxa"/>
          </w:tcPr>
          <w:p>
            <w:pPr>
              <w:pStyle w:val="TableText"/>
            </w:pPr>
            <w:r>
              <w:t xml:space="preserve">133°20′–146°40′</w:t>
            </w:r>
          </w:p>
        </w:tc>
        <w:tc>
          <w:tcPr>
            <w:tcW w:w="2400" w:type="dxa"/>
          </w:tcPr>
          <w:p>
            <w:pPr>
              <w:pStyle w:val="TableText"/>
            </w:pPr>
            <w:r>
              <w:t xml:space="preserve">Simha</w:t>
            </w:r>
          </w:p>
        </w:tc>
        <w:tc>
          <w:tcPr>
            <w:tcW w:w="2400" w:type="dxa"/>
          </w:tcPr>
          <w:p>
            <w:pPr>
              <w:pStyle w:val="TableText"/>
            </w:pPr>
            <w:r>
              <w:t xml:space="preserve">Bhaga</w:t>
            </w:r>
          </w:p>
        </w:tc>
        <w:tc>
          <w:tcPr>
            <w:tcW w:w="2400" w:type="dxa"/>
          </w:tcPr>
          <w:p>
            <w:pPr>
              <w:pStyle w:val="TableText"/>
            </w:pPr>
            <w:r>
              <w:t xml:space="preserve">Shukra</w:t>
            </w:r>
          </w:p>
        </w:tc>
      </w:tr>
      <w:tr>
        <w:tc>
          <w:tcPr>
            <w:tcW w:w="2400" w:type="dxa"/>
          </w:tcPr>
          <w:p>
            <w:pPr>
              <w:pStyle w:val="TableText"/>
            </w:pPr>
            <w:r>
              <w:t xml:space="preserve">12</w:t>
            </w:r>
          </w:p>
        </w:tc>
        <w:tc>
          <w:tcPr>
            <w:tcW w:w="2400" w:type="dxa"/>
          </w:tcPr>
          <w:p>
            <w:pPr>
              <w:pStyle w:val="TableText"/>
            </w:pPr>
            <w:r>
              <w:t xml:space="preserve">Uttara Phalguni</w:t>
            </w:r>
          </w:p>
        </w:tc>
        <w:tc>
          <w:tcPr>
            <w:tcW w:w="2400" w:type="dxa"/>
          </w:tcPr>
          <w:p>
            <w:pPr>
              <w:pStyle w:val="TableText"/>
            </w:pPr>
            <w:r>
              <w:t xml:space="preserve">146°40′–160°00′</w:t>
            </w:r>
          </w:p>
        </w:tc>
        <w:tc>
          <w:tcPr>
            <w:tcW w:w="2400" w:type="dxa"/>
          </w:tcPr>
          <w:p>
            <w:pPr>
              <w:pStyle w:val="TableText"/>
            </w:pPr>
            <w:r>
              <w:t xml:space="preserve">Simha / Kanya</w:t>
            </w:r>
          </w:p>
        </w:tc>
        <w:tc>
          <w:tcPr>
            <w:tcW w:w="2400" w:type="dxa"/>
          </w:tcPr>
          <w:p>
            <w:pPr>
              <w:pStyle w:val="TableText"/>
            </w:pPr>
            <w:r>
              <w:t xml:space="preserve">Aryaman</w:t>
            </w:r>
          </w:p>
        </w:tc>
        <w:tc>
          <w:tcPr>
            <w:tcW w:w="2400" w:type="dxa"/>
          </w:tcPr>
          <w:p>
            <w:pPr>
              <w:pStyle w:val="TableText"/>
            </w:pPr>
            <w:r>
              <w:t xml:space="preserve">Surya</w:t>
            </w:r>
          </w:p>
        </w:tc>
      </w:tr>
      <w:tr>
        <w:tc>
          <w:tcPr>
            <w:tcW w:w="2400" w:type="dxa"/>
          </w:tcPr>
          <w:p>
            <w:pPr>
              <w:pStyle w:val="TableText"/>
            </w:pPr>
            <w:r>
              <w:t xml:space="preserve">13</w:t>
            </w:r>
          </w:p>
        </w:tc>
        <w:tc>
          <w:tcPr>
            <w:tcW w:w="2400" w:type="dxa"/>
          </w:tcPr>
          <w:p>
            <w:pPr>
              <w:pStyle w:val="TableText"/>
            </w:pPr>
            <w:r>
              <w:t xml:space="preserve">Hasta</w:t>
            </w:r>
          </w:p>
        </w:tc>
        <w:tc>
          <w:tcPr>
            <w:tcW w:w="2400" w:type="dxa"/>
          </w:tcPr>
          <w:p>
            <w:pPr>
              <w:pStyle w:val="TableText"/>
            </w:pPr>
            <w:r>
              <w:t xml:space="preserve">160°00′–173°20′</w:t>
            </w:r>
          </w:p>
        </w:tc>
        <w:tc>
          <w:tcPr>
            <w:tcW w:w="2400" w:type="dxa"/>
          </w:tcPr>
          <w:p>
            <w:pPr>
              <w:pStyle w:val="TableText"/>
            </w:pPr>
            <w:r>
              <w:t xml:space="preserve">Kanya</w:t>
            </w:r>
          </w:p>
        </w:tc>
        <w:tc>
          <w:tcPr>
            <w:tcW w:w="2400" w:type="dxa"/>
          </w:tcPr>
          <w:p>
            <w:pPr>
              <w:pStyle w:val="TableText"/>
            </w:pPr>
            <w:r>
              <w:t xml:space="preserve">Savitr</w:t>
            </w:r>
          </w:p>
        </w:tc>
        <w:tc>
          <w:tcPr>
            <w:tcW w:w="2400" w:type="dxa"/>
          </w:tcPr>
          <w:p>
            <w:pPr>
              <w:pStyle w:val="TableText"/>
            </w:pPr>
            <w:r>
              <w:t xml:space="preserve">Chandra</w:t>
            </w:r>
          </w:p>
        </w:tc>
      </w:tr>
      <w:tr>
        <w:tc>
          <w:tcPr>
            <w:tcW w:w="2400" w:type="dxa"/>
          </w:tcPr>
          <w:p>
            <w:pPr>
              <w:pStyle w:val="TableText"/>
            </w:pPr>
            <w:r>
              <w:t xml:space="preserve">14</w:t>
            </w:r>
          </w:p>
        </w:tc>
        <w:tc>
          <w:tcPr>
            <w:tcW w:w="2400" w:type="dxa"/>
          </w:tcPr>
          <w:p>
            <w:pPr>
              <w:pStyle w:val="TableText"/>
            </w:pPr>
            <w:r>
              <w:t xml:space="preserve">Chitra</w:t>
            </w:r>
          </w:p>
        </w:tc>
        <w:tc>
          <w:tcPr>
            <w:tcW w:w="2400" w:type="dxa"/>
          </w:tcPr>
          <w:p>
            <w:pPr>
              <w:pStyle w:val="TableText"/>
            </w:pPr>
            <w:r>
              <w:t xml:space="preserve">173°20′–186°40′</w:t>
            </w:r>
          </w:p>
        </w:tc>
        <w:tc>
          <w:tcPr>
            <w:tcW w:w="2400" w:type="dxa"/>
          </w:tcPr>
          <w:p>
            <w:pPr>
              <w:pStyle w:val="TableText"/>
            </w:pPr>
            <w:r>
              <w:t xml:space="preserve">Kanya / Tula</w:t>
            </w:r>
          </w:p>
        </w:tc>
        <w:tc>
          <w:tcPr>
            <w:tcW w:w="2400" w:type="dxa"/>
          </w:tcPr>
          <w:p>
            <w:pPr>
              <w:pStyle w:val="TableText"/>
            </w:pPr>
            <w:r>
              <w:t xml:space="preserve">Tvashtr</w:t>
            </w:r>
          </w:p>
        </w:tc>
        <w:tc>
          <w:tcPr>
            <w:tcW w:w="2400" w:type="dxa"/>
          </w:tcPr>
          <w:p>
            <w:pPr>
              <w:pStyle w:val="TableText"/>
            </w:pPr>
            <w:r>
              <w:t xml:space="preserve">Mangala</w:t>
            </w:r>
          </w:p>
        </w:tc>
      </w:tr>
      <w:tr>
        <w:tc>
          <w:tcPr>
            <w:tcW w:w="2400" w:type="dxa"/>
          </w:tcPr>
          <w:p>
            <w:pPr>
              <w:pStyle w:val="TableText"/>
            </w:pPr>
            <w:r>
              <w:t xml:space="preserve">15</w:t>
            </w:r>
          </w:p>
        </w:tc>
        <w:tc>
          <w:tcPr>
            <w:tcW w:w="2400" w:type="dxa"/>
          </w:tcPr>
          <w:p>
            <w:pPr>
              <w:pStyle w:val="TableText"/>
            </w:pPr>
            <w:r>
              <w:t xml:space="preserve">Swati</w:t>
            </w:r>
          </w:p>
        </w:tc>
        <w:tc>
          <w:tcPr>
            <w:tcW w:w="2400" w:type="dxa"/>
          </w:tcPr>
          <w:p>
            <w:pPr>
              <w:pStyle w:val="TableText"/>
            </w:pPr>
            <w:r>
              <w:t xml:space="preserve">186°40′–200°00′</w:t>
            </w:r>
          </w:p>
        </w:tc>
        <w:tc>
          <w:tcPr>
            <w:tcW w:w="2400" w:type="dxa"/>
          </w:tcPr>
          <w:p>
            <w:pPr>
              <w:pStyle w:val="TableText"/>
            </w:pPr>
            <w:r>
              <w:t xml:space="preserve">Tula</w:t>
            </w:r>
          </w:p>
        </w:tc>
        <w:tc>
          <w:tcPr>
            <w:tcW w:w="2400" w:type="dxa"/>
          </w:tcPr>
          <w:p>
            <w:pPr>
              <w:pStyle w:val="TableText"/>
            </w:pPr>
            <w:r>
              <w:t xml:space="preserve">Vayu</w:t>
            </w:r>
          </w:p>
        </w:tc>
        <w:tc>
          <w:tcPr>
            <w:tcW w:w="2400" w:type="dxa"/>
          </w:tcPr>
          <w:p>
            <w:pPr>
              <w:pStyle w:val="TableText"/>
            </w:pPr>
            <w:r>
              <w:t xml:space="preserve">Rahu</w:t>
            </w:r>
          </w:p>
        </w:tc>
      </w:tr>
      <w:tr>
        <w:tc>
          <w:tcPr>
            <w:tcW w:w="2400" w:type="dxa"/>
          </w:tcPr>
          <w:p>
            <w:pPr>
              <w:pStyle w:val="TableText"/>
            </w:pPr>
            <w:r>
              <w:t xml:space="preserve">16</w:t>
            </w:r>
          </w:p>
        </w:tc>
        <w:tc>
          <w:tcPr>
            <w:tcW w:w="2400" w:type="dxa"/>
          </w:tcPr>
          <w:p>
            <w:pPr>
              <w:pStyle w:val="TableText"/>
            </w:pPr>
            <w:r>
              <w:t xml:space="preserve">Vishakha</w:t>
            </w:r>
          </w:p>
        </w:tc>
        <w:tc>
          <w:tcPr>
            <w:tcW w:w="2400" w:type="dxa"/>
          </w:tcPr>
          <w:p>
            <w:pPr>
              <w:pStyle w:val="TableText"/>
            </w:pPr>
            <w:r>
              <w:t xml:space="preserve">200°00′–213°20′</w:t>
            </w:r>
          </w:p>
        </w:tc>
        <w:tc>
          <w:tcPr>
            <w:tcW w:w="2400" w:type="dxa"/>
          </w:tcPr>
          <w:p>
            <w:pPr>
              <w:pStyle w:val="TableText"/>
            </w:pPr>
            <w:r>
              <w:t xml:space="preserve">Tula / Vrischika</w:t>
            </w:r>
          </w:p>
        </w:tc>
        <w:tc>
          <w:tcPr>
            <w:tcW w:w="2400" w:type="dxa"/>
          </w:tcPr>
          <w:p>
            <w:pPr>
              <w:pStyle w:val="TableText"/>
            </w:pPr>
            <w:r>
              <w:t xml:space="preserve">Indragni</w:t>
            </w:r>
          </w:p>
        </w:tc>
        <w:tc>
          <w:tcPr>
            <w:tcW w:w="2400" w:type="dxa"/>
          </w:tcPr>
          <w:p>
            <w:pPr>
              <w:pStyle w:val="TableText"/>
            </w:pPr>
            <w:r>
              <w:t xml:space="preserve">Brihaspati</w:t>
            </w:r>
          </w:p>
        </w:tc>
      </w:tr>
      <w:tr>
        <w:tc>
          <w:tcPr>
            <w:tcW w:w="2400" w:type="dxa"/>
          </w:tcPr>
          <w:p>
            <w:pPr>
              <w:pStyle w:val="TableText"/>
            </w:pPr>
            <w:r>
              <w:t xml:space="preserve">17</w:t>
            </w:r>
          </w:p>
        </w:tc>
        <w:tc>
          <w:tcPr>
            <w:tcW w:w="2400" w:type="dxa"/>
          </w:tcPr>
          <w:p>
            <w:pPr>
              <w:pStyle w:val="TableText"/>
            </w:pPr>
            <w:r>
              <w:t xml:space="preserve">Anuradha</w:t>
            </w:r>
          </w:p>
        </w:tc>
        <w:tc>
          <w:tcPr>
            <w:tcW w:w="2400" w:type="dxa"/>
          </w:tcPr>
          <w:p>
            <w:pPr>
              <w:pStyle w:val="TableText"/>
            </w:pPr>
            <w:r>
              <w:t xml:space="preserve">213°20′–226°40′</w:t>
            </w:r>
          </w:p>
        </w:tc>
        <w:tc>
          <w:tcPr>
            <w:tcW w:w="2400" w:type="dxa"/>
          </w:tcPr>
          <w:p>
            <w:pPr>
              <w:pStyle w:val="TableText"/>
            </w:pPr>
            <w:r>
              <w:t xml:space="preserve">Vrischika</w:t>
            </w:r>
          </w:p>
        </w:tc>
        <w:tc>
          <w:tcPr>
            <w:tcW w:w="2400" w:type="dxa"/>
          </w:tcPr>
          <w:p>
            <w:pPr>
              <w:pStyle w:val="TableText"/>
            </w:pPr>
            <w:r>
              <w:t xml:space="preserve">Mitra</w:t>
            </w:r>
          </w:p>
        </w:tc>
        <w:tc>
          <w:tcPr>
            <w:tcW w:w="2400" w:type="dxa"/>
          </w:tcPr>
          <w:p>
            <w:pPr>
              <w:pStyle w:val="TableText"/>
            </w:pPr>
            <w:r>
              <w:t xml:space="preserve">Shani</w:t>
            </w:r>
          </w:p>
        </w:tc>
      </w:tr>
      <w:tr>
        <w:tc>
          <w:tcPr>
            <w:tcW w:w="2400" w:type="dxa"/>
          </w:tcPr>
          <w:p>
            <w:pPr>
              <w:pStyle w:val="TableText"/>
            </w:pPr>
            <w:r>
              <w:t xml:space="preserve">18</w:t>
            </w:r>
          </w:p>
        </w:tc>
        <w:tc>
          <w:tcPr>
            <w:tcW w:w="2400" w:type="dxa"/>
          </w:tcPr>
          <w:p>
            <w:pPr>
              <w:pStyle w:val="TableText"/>
            </w:pPr>
            <w:r>
              <w:t xml:space="preserve">Jyeshtha</w:t>
            </w:r>
          </w:p>
        </w:tc>
        <w:tc>
          <w:tcPr>
            <w:tcW w:w="2400" w:type="dxa"/>
          </w:tcPr>
          <w:p>
            <w:pPr>
              <w:pStyle w:val="TableText"/>
            </w:pPr>
            <w:r>
              <w:t xml:space="preserve">226°40′–240°00′</w:t>
            </w:r>
          </w:p>
        </w:tc>
        <w:tc>
          <w:tcPr>
            <w:tcW w:w="2400" w:type="dxa"/>
          </w:tcPr>
          <w:p>
            <w:pPr>
              <w:pStyle w:val="TableText"/>
            </w:pPr>
            <w:r>
              <w:t xml:space="preserve">Vrischika</w:t>
            </w:r>
          </w:p>
        </w:tc>
        <w:tc>
          <w:tcPr>
            <w:tcW w:w="2400" w:type="dxa"/>
          </w:tcPr>
          <w:p>
            <w:pPr>
              <w:pStyle w:val="TableText"/>
            </w:pPr>
            <w:r>
              <w:t xml:space="preserve">Indra</w:t>
            </w:r>
          </w:p>
        </w:tc>
        <w:tc>
          <w:tcPr>
            <w:tcW w:w="2400" w:type="dxa"/>
          </w:tcPr>
          <w:p>
            <w:pPr>
              <w:pStyle w:val="TableText"/>
            </w:pPr>
            <w:r>
              <w:t xml:space="preserve">Budha</w:t>
            </w:r>
          </w:p>
        </w:tc>
      </w:tr>
      <w:tr>
        <w:tc>
          <w:tcPr>
            <w:tcW w:w="2400" w:type="dxa"/>
          </w:tcPr>
          <w:p>
            <w:pPr>
              <w:pStyle w:val="TableText"/>
            </w:pPr>
            <w:r>
              <w:t xml:space="preserve">19</w:t>
            </w:r>
          </w:p>
        </w:tc>
        <w:tc>
          <w:tcPr>
            <w:tcW w:w="2400" w:type="dxa"/>
          </w:tcPr>
          <w:p>
            <w:pPr>
              <w:pStyle w:val="TableText"/>
            </w:pPr>
            <w:r>
              <w:t xml:space="preserve">Mula</w:t>
            </w:r>
          </w:p>
        </w:tc>
        <w:tc>
          <w:tcPr>
            <w:tcW w:w="2400" w:type="dxa"/>
          </w:tcPr>
          <w:p>
            <w:pPr>
              <w:pStyle w:val="TableText"/>
            </w:pPr>
            <w:r>
              <w:t xml:space="preserve">240°00′–253°20′</w:t>
            </w:r>
          </w:p>
        </w:tc>
        <w:tc>
          <w:tcPr>
            <w:tcW w:w="2400" w:type="dxa"/>
          </w:tcPr>
          <w:p>
            <w:pPr>
              <w:pStyle w:val="TableText"/>
            </w:pPr>
            <w:r>
              <w:t xml:space="preserve">Dhanu</w:t>
            </w:r>
          </w:p>
        </w:tc>
        <w:tc>
          <w:tcPr>
            <w:tcW w:w="2400" w:type="dxa"/>
          </w:tcPr>
          <w:p>
            <w:pPr>
              <w:pStyle w:val="TableText"/>
            </w:pPr>
            <w:r>
              <w:t xml:space="preserve">Nirriti</w:t>
            </w:r>
          </w:p>
        </w:tc>
        <w:tc>
          <w:tcPr>
            <w:tcW w:w="2400" w:type="dxa"/>
          </w:tcPr>
          <w:p>
            <w:pPr>
              <w:pStyle w:val="TableText"/>
            </w:pPr>
            <w:r>
              <w:t xml:space="preserve">Ketu</w:t>
            </w:r>
          </w:p>
        </w:tc>
      </w:tr>
      <w:tr>
        <w:tc>
          <w:tcPr>
            <w:tcW w:w="2400" w:type="dxa"/>
          </w:tcPr>
          <w:p>
            <w:pPr>
              <w:pStyle w:val="TableText"/>
            </w:pPr>
            <w:r>
              <w:t xml:space="preserve">20</w:t>
            </w:r>
          </w:p>
        </w:tc>
        <w:tc>
          <w:tcPr>
            <w:tcW w:w="2400" w:type="dxa"/>
          </w:tcPr>
          <w:p>
            <w:pPr>
              <w:pStyle w:val="TableText"/>
            </w:pPr>
            <w:r>
              <w:t xml:space="preserve">Purva Ashadha</w:t>
            </w:r>
          </w:p>
        </w:tc>
        <w:tc>
          <w:tcPr>
            <w:tcW w:w="2400" w:type="dxa"/>
          </w:tcPr>
          <w:p>
            <w:pPr>
              <w:pStyle w:val="TableText"/>
            </w:pPr>
            <w:r>
              <w:t xml:space="preserve">253°20′–266°40′</w:t>
            </w:r>
          </w:p>
        </w:tc>
        <w:tc>
          <w:tcPr>
            <w:tcW w:w="2400" w:type="dxa"/>
          </w:tcPr>
          <w:p>
            <w:pPr>
              <w:pStyle w:val="TableText"/>
            </w:pPr>
            <w:r>
              <w:t xml:space="preserve">Dhanu</w:t>
            </w:r>
          </w:p>
        </w:tc>
        <w:tc>
          <w:tcPr>
            <w:tcW w:w="2400" w:type="dxa"/>
          </w:tcPr>
          <w:p>
            <w:pPr>
              <w:pStyle w:val="TableText"/>
            </w:pPr>
            <w:r>
              <w:t xml:space="preserve">Apas</w:t>
            </w:r>
          </w:p>
        </w:tc>
        <w:tc>
          <w:tcPr>
            <w:tcW w:w="2400" w:type="dxa"/>
          </w:tcPr>
          <w:p>
            <w:pPr>
              <w:pStyle w:val="TableText"/>
            </w:pPr>
            <w:r>
              <w:t xml:space="preserve">Shukra</w:t>
            </w:r>
          </w:p>
        </w:tc>
      </w:tr>
      <w:tr>
        <w:tc>
          <w:tcPr>
            <w:tcW w:w="2400" w:type="dxa"/>
          </w:tcPr>
          <w:p>
            <w:pPr>
              <w:pStyle w:val="TableText"/>
            </w:pPr>
            <w:r>
              <w:t xml:space="preserve">21</w:t>
            </w:r>
          </w:p>
        </w:tc>
        <w:tc>
          <w:tcPr>
            <w:tcW w:w="2400" w:type="dxa"/>
          </w:tcPr>
          <w:p>
            <w:pPr>
              <w:pStyle w:val="TableText"/>
            </w:pPr>
            <w:r>
              <w:t xml:space="preserve">Uttara Ashadha</w:t>
            </w:r>
          </w:p>
        </w:tc>
        <w:tc>
          <w:tcPr>
            <w:tcW w:w="2400" w:type="dxa"/>
          </w:tcPr>
          <w:p>
            <w:pPr>
              <w:pStyle w:val="TableText"/>
            </w:pPr>
            <w:r>
              <w:t xml:space="preserve">266°40′–280°00′</w:t>
            </w:r>
          </w:p>
        </w:tc>
        <w:tc>
          <w:tcPr>
            <w:tcW w:w="2400" w:type="dxa"/>
          </w:tcPr>
          <w:p>
            <w:pPr>
              <w:pStyle w:val="TableText"/>
            </w:pPr>
            <w:r>
              <w:t xml:space="preserve">Dhanu / Makara</w:t>
            </w:r>
          </w:p>
        </w:tc>
        <w:tc>
          <w:tcPr>
            <w:tcW w:w="2400" w:type="dxa"/>
          </w:tcPr>
          <w:p>
            <w:pPr>
              <w:pStyle w:val="TableText"/>
            </w:pPr>
            <w:r>
              <w:t xml:space="preserve">Vishvedevas</w:t>
            </w:r>
          </w:p>
        </w:tc>
        <w:tc>
          <w:tcPr>
            <w:tcW w:w="2400" w:type="dxa"/>
          </w:tcPr>
          <w:p>
            <w:pPr>
              <w:pStyle w:val="TableText"/>
            </w:pPr>
            <w:r>
              <w:t xml:space="preserve">Surya</w:t>
            </w:r>
          </w:p>
        </w:tc>
      </w:tr>
      <w:tr>
        <w:tc>
          <w:tcPr>
            <w:tcW w:w="2400" w:type="dxa"/>
          </w:tcPr>
          <w:p>
            <w:pPr>
              <w:pStyle w:val="TableText"/>
            </w:pPr>
            <w:r>
              <w:t xml:space="preserve">22</w:t>
            </w:r>
          </w:p>
        </w:tc>
        <w:tc>
          <w:tcPr>
            <w:tcW w:w="2400" w:type="dxa"/>
          </w:tcPr>
          <w:p>
            <w:pPr>
              <w:pStyle w:val="TableText"/>
            </w:pPr>
            <w:r>
              <w:t xml:space="preserve">Shravana</w:t>
            </w:r>
          </w:p>
        </w:tc>
        <w:tc>
          <w:tcPr>
            <w:tcW w:w="2400" w:type="dxa"/>
          </w:tcPr>
          <w:p>
            <w:pPr>
              <w:pStyle w:val="TableText"/>
            </w:pPr>
            <w:r>
              <w:t xml:space="preserve">280°00′–293°20′</w:t>
            </w:r>
          </w:p>
        </w:tc>
        <w:tc>
          <w:tcPr>
            <w:tcW w:w="2400" w:type="dxa"/>
          </w:tcPr>
          <w:p>
            <w:pPr>
              <w:pStyle w:val="TableText"/>
            </w:pPr>
            <w:r>
              <w:t xml:space="preserve">Makara</w:t>
            </w:r>
          </w:p>
        </w:tc>
        <w:tc>
          <w:tcPr>
            <w:tcW w:w="2400" w:type="dxa"/>
          </w:tcPr>
          <w:p>
            <w:pPr>
              <w:pStyle w:val="TableText"/>
            </w:pPr>
            <w:r>
              <w:t xml:space="preserve">Vishnu</w:t>
            </w:r>
          </w:p>
        </w:tc>
        <w:tc>
          <w:tcPr>
            <w:tcW w:w="2400" w:type="dxa"/>
          </w:tcPr>
          <w:p>
            <w:pPr>
              <w:pStyle w:val="TableText"/>
            </w:pPr>
            <w:r>
              <w:t xml:space="preserve">Chandra</w:t>
            </w:r>
          </w:p>
        </w:tc>
      </w:tr>
      <w:tr>
        <w:tc>
          <w:tcPr>
            <w:tcW w:w="2400" w:type="dxa"/>
          </w:tcPr>
          <w:p>
            <w:pPr>
              <w:pStyle w:val="TableText"/>
            </w:pPr>
            <w:r>
              <w:t xml:space="preserve">23</w:t>
            </w:r>
          </w:p>
        </w:tc>
        <w:tc>
          <w:tcPr>
            <w:tcW w:w="2400" w:type="dxa"/>
          </w:tcPr>
          <w:p>
            <w:pPr>
              <w:pStyle w:val="TableText"/>
            </w:pPr>
            <w:r>
              <w:t xml:space="preserve">Dhanishta</w:t>
            </w:r>
          </w:p>
        </w:tc>
        <w:tc>
          <w:tcPr>
            <w:tcW w:w="2400" w:type="dxa"/>
          </w:tcPr>
          <w:p>
            <w:pPr>
              <w:pStyle w:val="TableText"/>
            </w:pPr>
            <w:r>
              <w:t xml:space="preserve">293°20′–306°40′</w:t>
            </w:r>
          </w:p>
        </w:tc>
        <w:tc>
          <w:tcPr>
            <w:tcW w:w="2400" w:type="dxa"/>
          </w:tcPr>
          <w:p>
            <w:pPr>
              <w:pStyle w:val="TableText"/>
            </w:pPr>
            <w:r>
              <w:t xml:space="preserve">Makara / Kumbha</w:t>
            </w:r>
          </w:p>
        </w:tc>
        <w:tc>
          <w:tcPr>
            <w:tcW w:w="2400" w:type="dxa"/>
          </w:tcPr>
          <w:p>
            <w:pPr>
              <w:pStyle w:val="TableText"/>
            </w:pPr>
            <w:r>
              <w:t xml:space="preserve">the Vasus</w:t>
            </w:r>
          </w:p>
        </w:tc>
        <w:tc>
          <w:tcPr>
            <w:tcW w:w="2400" w:type="dxa"/>
          </w:tcPr>
          <w:p>
            <w:pPr>
              <w:pStyle w:val="TableText"/>
            </w:pPr>
            <w:r>
              <w:t xml:space="preserve">Mangala</w:t>
            </w:r>
          </w:p>
        </w:tc>
      </w:tr>
      <w:tr>
        <w:tc>
          <w:tcPr>
            <w:tcW w:w="2400" w:type="dxa"/>
          </w:tcPr>
          <w:p>
            <w:pPr>
              <w:pStyle w:val="TableText"/>
            </w:pPr>
            <w:r>
              <w:t xml:space="preserve">24</w:t>
            </w:r>
          </w:p>
        </w:tc>
        <w:tc>
          <w:tcPr>
            <w:tcW w:w="2400" w:type="dxa"/>
          </w:tcPr>
          <w:p>
            <w:pPr>
              <w:pStyle w:val="TableText"/>
            </w:pPr>
            <w:r>
              <w:t xml:space="preserve">Shatabhisha</w:t>
            </w:r>
          </w:p>
        </w:tc>
        <w:tc>
          <w:tcPr>
            <w:tcW w:w="2400" w:type="dxa"/>
          </w:tcPr>
          <w:p>
            <w:pPr>
              <w:pStyle w:val="TableText"/>
            </w:pPr>
            <w:r>
              <w:t xml:space="preserve">306°40′–320°00′</w:t>
            </w:r>
          </w:p>
        </w:tc>
        <w:tc>
          <w:tcPr>
            <w:tcW w:w="2400" w:type="dxa"/>
          </w:tcPr>
          <w:p>
            <w:pPr>
              <w:pStyle w:val="TableText"/>
            </w:pPr>
            <w:r>
              <w:t xml:space="preserve">Kumbha</w:t>
            </w:r>
          </w:p>
        </w:tc>
        <w:tc>
          <w:tcPr>
            <w:tcW w:w="2400" w:type="dxa"/>
          </w:tcPr>
          <w:p>
            <w:pPr>
              <w:pStyle w:val="TableText"/>
            </w:pPr>
            <w:r>
              <w:t xml:space="preserve">Varuna</w:t>
            </w:r>
          </w:p>
        </w:tc>
        <w:tc>
          <w:tcPr>
            <w:tcW w:w="2400" w:type="dxa"/>
          </w:tcPr>
          <w:p>
            <w:pPr>
              <w:pStyle w:val="TableText"/>
            </w:pPr>
            <w:r>
              <w:t xml:space="preserve">Rahu</w:t>
            </w:r>
          </w:p>
        </w:tc>
      </w:tr>
      <w:tr>
        <w:tc>
          <w:tcPr>
            <w:tcW w:w="2400" w:type="dxa"/>
          </w:tcPr>
          <w:p>
            <w:pPr>
              <w:pStyle w:val="TableText"/>
            </w:pPr>
            <w:r>
              <w:t xml:space="preserve">25</w:t>
            </w:r>
          </w:p>
        </w:tc>
        <w:tc>
          <w:tcPr>
            <w:tcW w:w="2400" w:type="dxa"/>
          </w:tcPr>
          <w:p>
            <w:pPr>
              <w:pStyle w:val="TableText"/>
            </w:pPr>
            <w:r>
              <w:t xml:space="preserve">Purva Bhadrapada</w:t>
            </w:r>
          </w:p>
        </w:tc>
        <w:tc>
          <w:tcPr>
            <w:tcW w:w="2400" w:type="dxa"/>
          </w:tcPr>
          <w:p>
            <w:pPr>
              <w:pStyle w:val="TableText"/>
            </w:pPr>
            <w:r>
              <w:t xml:space="preserve">320°00′–333°20′</w:t>
            </w:r>
          </w:p>
        </w:tc>
        <w:tc>
          <w:tcPr>
            <w:tcW w:w="2400" w:type="dxa"/>
          </w:tcPr>
          <w:p>
            <w:pPr>
              <w:pStyle w:val="TableText"/>
            </w:pPr>
            <w:r>
              <w:t xml:space="preserve">Kumbha / Meena</w:t>
            </w:r>
          </w:p>
        </w:tc>
        <w:tc>
          <w:tcPr>
            <w:tcW w:w="2400" w:type="dxa"/>
          </w:tcPr>
          <w:p>
            <w:pPr>
              <w:pStyle w:val="TableText"/>
            </w:pPr>
            <w:r>
              <w:t xml:space="preserve">Aja Ekapada</w:t>
            </w:r>
          </w:p>
        </w:tc>
        <w:tc>
          <w:tcPr>
            <w:tcW w:w="2400" w:type="dxa"/>
          </w:tcPr>
          <w:p>
            <w:pPr>
              <w:pStyle w:val="TableText"/>
            </w:pPr>
            <w:r>
              <w:t xml:space="preserve">Brihaspati</w:t>
            </w:r>
          </w:p>
        </w:tc>
      </w:tr>
      <w:tr>
        <w:tc>
          <w:tcPr>
            <w:tcW w:w="2400" w:type="dxa"/>
          </w:tcPr>
          <w:p>
            <w:pPr>
              <w:pStyle w:val="TableText"/>
            </w:pPr>
            <w:r>
              <w:t xml:space="preserve">26</w:t>
            </w:r>
          </w:p>
        </w:tc>
        <w:tc>
          <w:tcPr>
            <w:tcW w:w="2400" w:type="dxa"/>
          </w:tcPr>
          <w:p>
            <w:pPr>
              <w:pStyle w:val="TableText"/>
            </w:pPr>
            <w:r>
              <w:t xml:space="preserve">Uttara Bhadrapada</w:t>
            </w:r>
          </w:p>
        </w:tc>
        <w:tc>
          <w:tcPr>
            <w:tcW w:w="2400" w:type="dxa"/>
          </w:tcPr>
          <w:p>
            <w:pPr>
              <w:pStyle w:val="TableText"/>
            </w:pPr>
            <w:r>
              <w:t xml:space="preserve">333°20′–346°40′</w:t>
            </w:r>
          </w:p>
        </w:tc>
        <w:tc>
          <w:tcPr>
            <w:tcW w:w="2400" w:type="dxa"/>
          </w:tcPr>
          <w:p>
            <w:pPr>
              <w:pStyle w:val="TableText"/>
            </w:pPr>
            <w:r>
              <w:t xml:space="preserve">Meena</w:t>
            </w:r>
          </w:p>
        </w:tc>
        <w:tc>
          <w:tcPr>
            <w:tcW w:w="2400" w:type="dxa"/>
          </w:tcPr>
          <w:p>
            <w:pPr>
              <w:pStyle w:val="TableText"/>
            </w:pPr>
            <w:r>
              <w:t xml:space="preserve">Ahir Budhnya</w:t>
            </w:r>
          </w:p>
        </w:tc>
        <w:tc>
          <w:tcPr>
            <w:tcW w:w="2400" w:type="dxa"/>
          </w:tcPr>
          <w:p>
            <w:pPr>
              <w:pStyle w:val="TableText"/>
            </w:pPr>
            <w:r>
              <w:t xml:space="preserve">Shani</w:t>
            </w:r>
          </w:p>
        </w:tc>
      </w:tr>
      <w:tr>
        <w:tc>
          <w:tcPr>
            <w:tcW w:w="2400" w:type="dxa"/>
          </w:tcPr>
          <w:p>
            <w:pPr>
              <w:pStyle w:val="TableText"/>
            </w:pPr>
            <w:r>
              <w:t xml:space="preserve">27</w:t>
            </w:r>
          </w:p>
        </w:tc>
        <w:tc>
          <w:tcPr>
            <w:tcW w:w="2400" w:type="dxa"/>
          </w:tcPr>
          <w:p>
            <w:pPr>
              <w:pStyle w:val="TableText"/>
            </w:pPr>
            <w:r>
              <w:t xml:space="preserve">Revati</w:t>
            </w:r>
          </w:p>
        </w:tc>
        <w:tc>
          <w:tcPr>
            <w:tcW w:w="2400" w:type="dxa"/>
          </w:tcPr>
          <w:p>
            <w:pPr>
              <w:pStyle w:val="TableText"/>
            </w:pPr>
            <w:r>
              <w:t xml:space="preserve">346°40′–360°00′</w:t>
            </w:r>
          </w:p>
        </w:tc>
        <w:tc>
          <w:tcPr>
            <w:tcW w:w="2400" w:type="dxa"/>
          </w:tcPr>
          <w:p>
            <w:pPr>
              <w:pStyle w:val="TableText"/>
            </w:pPr>
            <w:r>
              <w:t xml:space="preserve">Meena</w:t>
            </w:r>
          </w:p>
        </w:tc>
        <w:tc>
          <w:tcPr>
            <w:tcW w:w="2400" w:type="dxa"/>
          </w:tcPr>
          <w:p>
            <w:pPr>
              <w:pStyle w:val="TableText"/>
            </w:pPr>
            <w:r>
              <w:t xml:space="preserve">Pushan</w:t>
            </w:r>
          </w:p>
        </w:tc>
        <w:tc>
          <w:tcPr>
            <w:tcW w:w="2400" w:type="dxa"/>
          </w:tcPr>
          <w:p>
            <w:pPr>
              <w:pStyle w:val="TableText"/>
            </w:pPr>
            <w:r>
              <w:t xml:space="preserve">Budha</w:t>
            </w:r>
          </w:p>
        </w:tc>
      </w:tr>
    </w:tbl>
    <w:p/>
    <w:p>
      <w:r>
        <w:t xml:space="preserve">A twenty-eighth, </w:t>
      </w:r>
      <w:r>
        <w:rPr>
          <w:b/>
        </w:rPr>
        <w:t xml:space="preserve">Abhijit</w:t>
      </w:r>
      <w:r>
        <w:t xml:space="preserve">, appears in the older Vedic lists and is squeezed between Uttara Ashadha and Shravana. It is kept for muhurta and dropped from the even 27-fold division.</w:t>
      </w:r>
    </w:p>
    <w:p>
      <w:pPr>
        <w:pStyle w:val="Heading2"/>
      </w:pPr>
      <w:r>
        <w:t xml:space="preserve">How this site computes today's rashi</w:t>
      </w:r>
    </w:p>
    <w:p>
      <w:r>
        <w:t xml:space="preserve">The breadcrumb bar picks the rashi from a fixed table of month-and-day boundaries. Those boundaries approximate the Lahiri sidereal ingress dates; they are not a live ephemeris, and the true sankranti can fall a day either side of the printed date and shifts slowly across centuries. Treat the chip as a cultural display of how a different sky-division names today — not as a computation you would use for ritual, and not as a claim that the sign predicts anything.</w:t>
      </w:r>
    </w:p>
    <w:p>
      <w:pPr>
        <w:pStyle w:val="Heading2"/>
      </w:pPr>
      <w:r>
        <w:t xml:space="preserve">Related</w:t>
      </w:r>
    </w:p>
    <w:p>
      <w:pPr>
        <w:pStyle w:val="ListParagraph"/>
        <w:numPr>
          <w:ilvl w:val="0"/>
          <w:numId w:val="1"/>
        </w:numPr>
      </w:pPr>
      <w:hyperlink r:id="rId125">
        <w:r>
          <w:rPr>
            <w:color w:val="1F4E79"/>
            <w:u w:val="single"/>
          </w:rPr>
          <w:t xml:space="preserve">World Zodiacs</w:t>
        </w:r>
      </w:hyperlink>
      <w:r>
        <w:t xml:space="preserve"> — the seven systems in the breadcrumb bar.</w:t>
      </w:r>
    </w:p>
    <w:p>
      <w:pPr>
        <w:pStyle w:val="ListParagraph"/>
        <w:numPr>
          <w:ilvl w:val="0"/>
          <w:numId w:val="1"/>
        </w:numPr>
      </w:pPr>
      <w:hyperlink r:id="rId126">
        <w:r>
          <w:rPr>
            <w:color w:val="1F4E79"/>
            <w:u w:val="single"/>
          </w:rPr>
          <w:t xml:space="preserve">Religion</w:t>
        </w:r>
      </w:hyperlink>
    </w:p>
    <w:p>
      <w:pPr>
        <w:pStyle w:val="ListParagraph"/>
        <w:numPr>
          <w:ilvl w:val="0"/>
          <w:numId w:val="1"/>
        </w:numPr>
      </w:pPr>
      <w:hyperlink r:id="rId127">
        <w:r>
          <w:rPr>
            <w:color w:val="1F4E79"/>
            <w:u w:val="single"/>
          </w:rPr>
          <w:t xml:space="preserve">Calendar</w:t>
        </w:r>
      </w:hyperlink>
    </w:p>
    <w:p>
      <w:pPr>
        <w:pStyle w:val="ListParagraph"/>
        <w:numPr>
          <w:ilvl w:val="0"/>
          <w:numId w:val="1"/>
        </w:numPr>
      </w:pPr>
      <w:hyperlink r:id="rId128">
        <w:r>
          <w:rPr>
            <w:color w:val="1F4E79"/>
            <w:u w:val="single"/>
          </w:rPr>
          <w:t xml:space="preserve">Culture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vedic/portal" TargetMode="External"/><Relationship Id="rId101" Type="http://schemas.openxmlformats.org/officeDocument/2006/relationships/hyperlink" Target="https://www.agoramores.com/culture/zodiac/vedic/mesha" TargetMode="External"/><Relationship Id="rId102" Type="http://schemas.openxmlformats.org/officeDocument/2006/relationships/hyperlink" Target="https://www.agoramores.com/culture/zodiac/western/aries" TargetMode="External"/><Relationship Id="rId103" Type="http://schemas.openxmlformats.org/officeDocument/2006/relationships/hyperlink" Target="https://www.agoramores.com/culture/zodiac/vedic/vrishabha" TargetMode="External"/><Relationship Id="rId104" Type="http://schemas.openxmlformats.org/officeDocument/2006/relationships/hyperlink" Target="https://www.agoramores.com/culture/zodiac/western/taurus" TargetMode="External"/><Relationship Id="rId105" Type="http://schemas.openxmlformats.org/officeDocument/2006/relationships/hyperlink" Target="https://www.agoramores.com/culture/zodiac/vedic/mithuna" TargetMode="External"/><Relationship Id="rId106" Type="http://schemas.openxmlformats.org/officeDocument/2006/relationships/hyperlink" Target="https://www.agoramores.com/culture/zodiac/western/gemini" TargetMode="External"/><Relationship Id="rId107" Type="http://schemas.openxmlformats.org/officeDocument/2006/relationships/hyperlink" Target="https://www.agoramores.com/culture/zodiac/vedic/karka" TargetMode="External"/><Relationship Id="rId108" Type="http://schemas.openxmlformats.org/officeDocument/2006/relationships/hyperlink" Target="https://www.agoramores.com/culture/zodiac/western/cancer-zodiac-sign" TargetMode="External"/><Relationship Id="rId109" Type="http://schemas.openxmlformats.org/officeDocument/2006/relationships/hyperlink" Target="https://www.agoramores.com/culture/zodiac/vedic/simha" TargetMode="External"/><Relationship Id="rId110" Type="http://schemas.openxmlformats.org/officeDocument/2006/relationships/hyperlink" Target="https://www.agoramores.com/culture/zodiac/western/leo" TargetMode="External"/><Relationship Id="rId111" Type="http://schemas.openxmlformats.org/officeDocument/2006/relationships/hyperlink" Target="https://www.agoramores.com/culture/zodiac/vedic/kanya" TargetMode="External"/><Relationship Id="rId112" Type="http://schemas.openxmlformats.org/officeDocument/2006/relationships/hyperlink" Target="https://www.agoramores.com/culture/zodiac/western/virgo" TargetMode="External"/><Relationship Id="rId113" Type="http://schemas.openxmlformats.org/officeDocument/2006/relationships/hyperlink" Target="https://www.agoramores.com/culture/zodiac/vedic/tula" TargetMode="External"/><Relationship Id="rId114" Type="http://schemas.openxmlformats.org/officeDocument/2006/relationships/hyperlink" Target="https://www.agoramores.com/culture/zodiac/western/libra" TargetMode="External"/><Relationship Id="rId115" Type="http://schemas.openxmlformats.org/officeDocument/2006/relationships/hyperlink" Target="https://www.agoramores.com/culture/zodiac/vedic/vrischika" TargetMode="External"/><Relationship Id="rId116" Type="http://schemas.openxmlformats.org/officeDocument/2006/relationships/hyperlink" Target="https://www.agoramores.com/culture/zodiac/western/scorpio" TargetMode="External"/><Relationship Id="rId117" Type="http://schemas.openxmlformats.org/officeDocument/2006/relationships/hyperlink" Target="https://www.agoramores.com/culture/zodiac/vedic/dhanu" TargetMode="External"/><Relationship Id="rId118" Type="http://schemas.openxmlformats.org/officeDocument/2006/relationships/hyperlink" Target="https://www.agoramores.com/culture/zodiac/western/sagittarius" TargetMode="External"/><Relationship Id="rId119" Type="http://schemas.openxmlformats.org/officeDocument/2006/relationships/hyperlink" Target="https://www.agoramores.com/culture/zodiac/vedic/makara" TargetMode="External"/><Relationship Id="rId120" Type="http://schemas.openxmlformats.org/officeDocument/2006/relationships/hyperlink" Target="https://www.agoramores.com/culture/zodiac/western/capricorn" TargetMode="External"/><Relationship Id="rId121" Type="http://schemas.openxmlformats.org/officeDocument/2006/relationships/hyperlink" Target="https://www.agoramores.com/culture/zodiac/vedic/kumbha" TargetMode="External"/><Relationship Id="rId122" Type="http://schemas.openxmlformats.org/officeDocument/2006/relationships/hyperlink" Target="https://www.agoramores.com/culture/zodiac/western/aquarius" TargetMode="External"/><Relationship Id="rId123" Type="http://schemas.openxmlformats.org/officeDocument/2006/relationships/hyperlink" Target="https://www.agoramores.com/culture/zodiac/vedic/meena" TargetMode="External"/><Relationship Id="rId124" Type="http://schemas.openxmlformats.org/officeDocument/2006/relationships/hyperlink" Target="https://www.agoramores.com/culture/zodiac/western/pisces" TargetMode="External"/><Relationship Id="rId125" Type="http://schemas.openxmlformats.org/officeDocument/2006/relationships/hyperlink" Target="https://www.agoramores.com/culture/zodiac/portal" TargetMode="External"/><Relationship Id="rId126" Type="http://schemas.openxmlformats.org/officeDocument/2006/relationships/hyperlink" Target="https://www.agoramores.com/religion/portal" TargetMode="External"/><Relationship Id="rId127" Type="http://schemas.openxmlformats.org/officeDocument/2006/relationships/hyperlink" Target="https://www.agoramores.com/calendar/portal" TargetMode="External"/><Relationship Id="rId128" Type="http://schemas.openxmlformats.org/officeDocument/2006/relationships/hyperlink" Target="https://www.agoramores.com/culture/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vedic</dc:title>
  <dc:creator>Agoramores</dc:creator>
  <cp:keywords>culture, zodiac, vedic-astrology, hinduism, jyotisha</cp:keywords>
  <dcterms:created xsi:type="dcterms:W3CDTF">2026-08-21T01:08:02Z</dcterms:created>
</cp:coreProperties>
</file>