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Cougar (Medicine Wheel)</w:t>
      </w:r>
    </w:p>
    <w:p>
      <w:pPr>
        <w:pStyle w:val="Subtitle"/>
      </w:pPr>
      <w:hyperlink r:id="rId100">
        <w:r>
          <w:rPr>
            <w:color w:val="1F4E79"/>
            <w:u w:val="single"/>
          </w:rPr>
          <w:t xml:space="preserve">https://www.agoramores.com/culture/zodiac/medicine-wheel/cougar-medicine-wheel</w:t>
        </w:r>
      </w:hyperlink>
    </w:p>
    <w:p>
      <w:pPr>
        <w:pStyle w:val="Subtitle"/>
      </w:pPr>
      <w:r>
        <w:t xml:space="preserve">Tags: culture · zodiac · medicine-wheel · earth-astrology · indigenous</w:t>
      </w:r>
    </w:p>
    <w:p>
      <w:pPr>
        <w:pBdr>
          <w:bottom w:val="single" w:sz="6" w:space="1" w:color="808080"/>
        </w:pBdr>
      </w:pPr>
    </w:p>
    <w:p>
      <w:pPr>
        <w:pStyle w:val="Heading1"/>
      </w:pPr>
      <w:r>
        <w:t xml:space="preserve">Related</w:t>
      </w:r>
    </w:p>
    <w:p>
      <w:pPr>
        <w:pStyle w:val="Heading2"/>
      </w:pPr>
      <w:hyperlink r:id="rId101">
        <w:r>
          <w:rPr>
            <w:color w:val="1F4E79"/>
            <w:u w:val="single"/>
          </w:rPr>
          <w:t xml:space="preserve">indigenous</w:t>
        </w:r>
      </w:hyperlink>
    </w:p>
    <w:p>
      <w:pPr>
        <w:pStyle w:val="ListParagraph"/>
        <w:numPr>
          <w:ilvl w:val="0"/>
          <w:numId w:val="1"/>
        </w:numPr>
      </w:pPr>
      <w:hyperlink r:id="rId102">
        <w:r>
          <w:rPr>
            <w:color w:val="1F4E79"/>
            <w:u w:val="single"/>
          </w:rPr>
          <w:t xml:space="preserve">Brown Bear (Medicine Wheel)</w:t>
        </w:r>
      </w:hyperlink>
    </w:p>
    <w:p>
      <w:pPr>
        <w:pStyle w:val="ListParagraph"/>
        <w:numPr>
          <w:ilvl w:val="0"/>
          <w:numId w:val="1"/>
        </w:numPr>
      </w:pPr>
      <w:hyperlink r:id="rId103">
        <w:r>
          <w:rPr>
            <w:color w:val="1F4E79"/>
            <w:u w:val="single"/>
          </w:rPr>
          <w:t xml:space="preserve">medicine wheel</w:t>
        </w:r>
      </w:hyperlink>
    </w:p>
    <w:p>
      <w:pPr>
        <w:pStyle w:val="ListParagraph"/>
        <w:numPr>
          <w:ilvl w:val="0"/>
          <w:numId w:val="1"/>
        </w:numPr>
      </w:pPr>
      <w:hyperlink r:id="rId104">
        <w:r>
          <w:rPr>
            <w:color w:val="1F4E79"/>
            <w:u w:val="single"/>
          </w:rPr>
          <w:t xml:space="preserve">Beaver (Medicine Wheel)</w:t>
        </w:r>
      </w:hyperlink>
    </w:p>
    <w:p>
      <w:pPr>
        <w:pStyle w:val="ListParagraph"/>
        <w:numPr>
          <w:ilvl w:val="0"/>
          <w:numId w:val="1"/>
        </w:numPr>
      </w:pPr>
      <w:hyperlink r:id="rId105">
        <w:r>
          <w:rPr>
            <w:color w:val="1F4E79"/>
            <w:u w:val="single"/>
          </w:rPr>
          <w:t xml:space="preserve">Deer (Medicine Wheel)</w:t>
        </w:r>
      </w:hyperlink>
    </w:p>
    <w:p>
      <w:pPr>
        <w:pStyle w:val="ListParagraph"/>
        <w:numPr>
          <w:ilvl w:val="0"/>
          <w:numId w:val="1"/>
        </w:numPr>
      </w:pPr>
      <w:hyperlink r:id="rId106">
        <w:r>
          <w:rPr>
            <w:color w:val="1F4E79"/>
            <w:u w:val="single"/>
          </w:rPr>
          <w:t xml:space="preserve">Elk (Medicine Wheel)</w:t>
        </w:r>
      </w:hyperlink>
    </w:p>
    <w:p>
      <w:pPr>
        <w:pStyle w:val="ListParagraph"/>
        <w:numPr>
          <w:ilvl w:val="0"/>
          <w:numId w:val="1"/>
        </w:numPr>
      </w:pPr>
      <w:hyperlink r:id="rId107">
        <w:r>
          <w:rPr>
            <w:color w:val="1F4E79"/>
            <w:u w:val="single"/>
          </w:rPr>
          <w:t xml:space="preserve">Flicker (Medicine Wheel)</w:t>
        </w:r>
      </w:hyperlink>
    </w:p>
    <w:p>
      <w:pPr>
        <w:pStyle w:val="Heading2"/>
      </w:pPr>
      <w:hyperlink r:id="rId108">
        <w:r>
          <w:rPr>
            <w:color w:val="1F4E79"/>
            <w:u w:val="single"/>
          </w:rPr>
          <w:t xml:space="preserve">earth-astrology</w:t>
        </w:r>
      </w:hyperlink>
    </w:p>
    <w:p>
      <w:pPr>
        <w:pStyle w:val="ListParagraph"/>
        <w:numPr>
          <w:ilvl w:val="0"/>
          <w:numId w:val="1"/>
        </w:numPr>
      </w:pPr>
      <w:hyperlink r:id="rId109">
        <w:r>
          <w:rPr>
            <w:color w:val="1F4E79"/>
            <w:u w:val="single"/>
          </w:rPr>
          <w:t xml:space="preserve">Otter (Medicine Wheel)</w:t>
        </w:r>
      </w:hyperlink>
    </w:p>
    <w:p>
      <w:pPr>
        <w:pStyle w:val="ListParagraph"/>
        <w:numPr>
          <w:ilvl w:val="0"/>
          <w:numId w:val="1"/>
        </w:numPr>
      </w:pPr>
      <w:hyperlink r:id="rId110">
        <w:r>
          <w:rPr>
            <w:color w:val="1F4E79"/>
            <w:u w:val="single"/>
          </w:rPr>
          <w:t xml:space="preserve">Raven (Medicine Wheel)</w:t>
        </w:r>
      </w:hyperlink>
    </w:p>
    <w:p>
      <w:pPr>
        <w:pStyle w:val="ListParagraph"/>
        <w:numPr>
          <w:ilvl w:val="0"/>
          <w:numId w:val="1"/>
        </w:numPr>
      </w:pPr>
      <w:hyperlink r:id="rId111">
        <w:r>
          <w:rPr>
            <w:color w:val="1F4E79"/>
            <w:u w:val="single"/>
          </w:rPr>
          <w:t xml:space="preserve">Red Hawk (Medicine Wheel)</w:t>
        </w:r>
      </w:hyperlink>
    </w:p>
    <w:p>
      <w:pPr>
        <w:pStyle w:val="ListParagraph"/>
        <w:numPr>
          <w:ilvl w:val="0"/>
          <w:numId w:val="1"/>
        </w:numPr>
      </w:pPr>
      <w:hyperlink r:id="rId112">
        <w:r>
          <w:rPr>
            <w:color w:val="1F4E79"/>
            <w:u w:val="single"/>
          </w:rPr>
          <w:t xml:space="preserve">Snake (Medicine Wheel)</w:t>
        </w:r>
      </w:hyperlink>
    </w:p>
    <w:p>
      <w:pPr>
        <w:pStyle w:val="ListParagraph"/>
        <w:numPr>
          <w:ilvl w:val="0"/>
          <w:numId w:val="1"/>
        </w:numPr>
      </w:pPr>
      <w:hyperlink r:id="rId113">
        <w:r>
          <w:rPr>
            <w:color w:val="1F4E79"/>
            <w:u w:val="single"/>
          </w:rPr>
          <w:t xml:space="preserve">Snow Goose (Medicine Wheel)</w:t>
        </w:r>
      </w:hyperlink>
    </w:p>
    <w:p>
      <w:pPr>
        <w:pStyle w:val="ListParagraph"/>
        <w:numPr>
          <w:ilvl w:val="0"/>
          <w:numId w:val="1"/>
        </w:numPr>
      </w:pPr>
      <w:hyperlink r:id="rId114">
        <w:r>
          <w:rPr>
            <w:color w:val="1F4E79"/>
            <w:u w:val="single"/>
          </w:rPr>
          <w:t xml:space="preserve">Sturgeon (Medicine Wheel)</w:t>
        </w:r>
      </w:hyperlink>
    </w:p>
    <w:p>
      <w:pPr>
        <w:pStyle w:val="Heading2"/>
      </w:pPr>
      <w:hyperlink r:id="rId115">
        <w:r>
          <w:rPr>
            <w:color w:val="1F4E79"/>
            <w:u w:val="single"/>
          </w:rPr>
          <w:t xml:space="preserve">zodiac</w:t>
        </w:r>
      </w:hyperlink>
    </w:p>
    <w:p>
      <w:pPr>
        <w:pStyle w:val="ListParagraph"/>
        <w:numPr>
          <w:ilvl w:val="0"/>
          <w:numId w:val="1"/>
        </w:numPr>
      </w:pPr>
      <w:hyperlink r:id="rId116">
        <w:r>
          <w:rPr>
            <w:color w:val="1F4E79"/>
            <w:u w:val="single"/>
          </w:rPr>
          <w:t xml:space="preserve">Gemini</w:t>
        </w:r>
      </w:hyperlink>
    </w:p>
    <w:p>
      <w:pPr>
        <w:pStyle w:val="ListParagraph"/>
        <w:numPr>
          <w:ilvl w:val="0"/>
          <w:numId w:val="1"/>
        </w:numPr>
      </w:pPr>
      <w:hyperlink r:id="rId117">
        <w:r>
          <w:rPr>
            <w:color w:val="1F4E79"/>
            <w:u w:val="single"/>
          </w:rPr>
          <w:t xml:space="preserve">zodiac</w:t>
        </w:r>
      </w:hyperlink>
    </w:p>
    <w:p>
      <w:pPr>
        <w:pStyle w:val="ListParagraph"/>
        <w:numPr>
          <w:ilvl w:val="0"/>
          <w:numId w:val="1"/>
        </w:numPr>
      </w:pPr>
      <w:hyperlink r:id="rId118">
        <w:r>
          <w:rPr>
            <w:color w:val="1F4E79"/>
            <w:u w:val="single"/>
          </w:rPr>
          <w:t xml:space="preserve">maya</w:t>
        </w:r>
      </w:hyperlink>
    </w:p>
    <w:p>
      <w:pPr>
        <w:pStyle w:val="ListParagraph"/>
        <w:numPr>
          <w:ilvl w:val="0"/>
          <w:numId w:val="1"/>
        </w:numPr>
      </w:pPr>
      <w:hyperlink r:id="rId119">
        <w:r>
          <w:rPr>
            <w:color w:val="1F4E79"/>
            <w:u w:val="single"/>
          </w:rPr>
          <w:t xml:space="preserve">western</w:t>
        </w:r>
      </w:hyperlink>
    </w:p>
    <w:p>
      <w:pPr>
        <w:pStyle w:val="ListParagraph"/>
        <w:numPr>
          <w:ilvl w:val="0"/>
          <w:numId w:val="1"/>
        </w:numPr>
      </w:pPr>
      <w:hyperlink r:id="rId120">
        <w:r>
          <w:rPr>
            <w:color w:val="1F4E79"/>
            <w:u w:val="single"/>
          </w:rPr>
          <w:t xml:space="preserve">celtic</w:t>
        </w:r>
      </w:hyperlink>
    </w:p>
    <w:p>
      <w:pPr>
        <w:pStyle w:val="ListParagraph"/>
        <w:numPr>
          <w:ilvl w:val="0"/>
          <w:numId w:val="1"/>
        </w:numPr>
      </w:pPr>
      <w:hyperlink r:id="rId121">
        <w:r>
          <w:rPr>
            <w:color w:val="1F4E79"/>
            <w:u w:val="single"/>
          </w:rPr>
          <w:t xml:space="preserve">vedic</w:t>
        </w:r>
      </w:hyperlink>
    </w:p>
    <w:p>
      <w:pPr>
        <w:pStyle w:val="Heading2"/>
      </w:pPr>
      <w:hyperlink r:id="rId122">
        <w:r>
          <w:rPr>
            <w:color w:val="1F4E79"/>
            <w:u w:val="single"/>
          </w:rPr>
          <w:t xml:space="preserve">culture</w:t>
        </w:r>
      </w:hyperlink>
    </w:p>
    <w:p>
      <w:pPr>
        <w:pStyle w:val="ListParagraph"/>
        <w:numPr>
          <w:ilvl w:val="0"/>
          <w:numId w:val="1"/>
        </w:numPr>
      </w:pPr>
      <w:hyperlink r:id="rId123">
        <w:r>
          <w:rPr>
            <w:color w:val="1F4E79"/>
            <w:u w:val="single"/>
          </w:rPr>
          <w:t xml:space="preserve">German</w:t>
        </w:r>
      </w:hyperlink>
    </w:p>
    <w:p>
      <w:pPr>
        <w:pStyle w:val="ListParagraph"/>
        <w:numPr>
          <w:ilvl w:val="0"/>
          <w:numId w:val="1"/>
        </w:numPr>
      </w:pPr>
      <w:hyperlink r:id="rId124">
        <w:r>
          <w:rPr>
            <w:color w:val="1F4E79"/>
            <w:u w:val="single"/>
          </w:rPr>
          <w:t xml:space="preserve">Hindi</w:t>
        </w:r>
      </w:hyperlink>
    </w:p>
    <w:p>
      <w:pPr>
        <w:pStyle w:val="ListParagraph"/>
        <w:numPr>
          <w:ilvl w:val="0"/>
          <w:numId w:val="1"/>
        </w:numPr>
      </w:pPr>
      <w:hyperlink r:id="rId125">
        <w:r>
          <w:rPr>
            <w:color w:val="1F4E79"/>
            <w:u w:val="single"/>
          </w:rPr>
          <w:t xml:space="preserve">Glass Blowing</w:t>
        </w:r>
      </w:hyperlink>
    </w:p>
    <w:p>
      <w:pPr>
        <w:pStyle w:val="ListParagraph"/>
        <w:numPr>
          <w:ilvl w:val="0"/>
          <w:numId w:val="1"/>
        </w:numPr>
      </w:pPr>
      <w:hyperlink r:id="rId126">
        <w:r>
          <w:rPr>
            <w:color w:val="1F4E79"/>
            <w:u w:val="single"/>
          </w:rPr>
          <w:t xml:space="preserve">Norwegian</w:t>
        </w:r>
      </w:hyperlink>
    </w:p>
    <w:p>
      <w:pPr>
        <w:pStyle w:val="ListParagraph"/>
        <w:numPr>
          <w:ilvl w:val="0"/>
          <w:numId w:val="1"/>
        </w:numPr>
      </w:pPr>
      <w:hyperlink r:id="rId127">
        <w:r>
          <w:rPr>
            <w:color w:val="1F4E79"/>
            <w:u w:val="single"/>
          </w:rPr>
          <w:t xml:space="preserve">Sinhala</w:t>
        </w:r>
      </w:hyperlink>
    </w:p>
    <w:p>
      <w:pPr>
        <w:pStyle w:val="ListParagraph"/>
        <w:numPr>
          <w:ilvl w:val="0"/>
          <w:numId w:val="1"/>
        </w:numPr>
      </w:pPr>
      <w:hyperlink r:id="rId128">
        <w:r>
          <w:rPr>
            <w:color w:val="1F4E79"/>
            <w:u w:val="single"/>
          </w:rPr>
          <w:t xml:space="preserve">Arts (community organizations)</w:t>
        </w:r>
      </w:hyperlink>
    </w:p>
    <w:p>
      <w:pPr>
        <w:pStyle w:val="Heading1"/>
      </w:pPr>
      <w:r>
        <w:t xml:space="preserve">Cougar (Medicine Wheel)</w:t>
      </w:r>
    </w:p>
    <w:p>
      <w:r>
        <w:t xml:space="preserve">The </w:t>
      </w:r>
      <w:r>
        <w:rPr>
          <w:b/>
        </w:rPr>
        <w:t xml:space="preserve">Cougar</w:t>
      </w:r>
      <w:r>
        <w:t xml:space="preserve"> holds </w:t>
      </w:r>
      <w:r>
        <w:rPr>
          <w:b/>
        </w:rPr>
        <w:t xml:space="preserve">19 February to 20 March</w:t>
      </w:r>
      <w:r>
        <w:t xml:space="preserve">, and the site's tooltip calls it the sensitive scout who walks the melting snow. The placement is </w:t>
      </w:r>
      <w:r>
        <w:rPr>
          <w:b/>
        </w:rPr>
        <w:t xml:space="preserve">Sun Bear</w:t>
      </w:r>
      <w:r>
        <w:t xml:space="preserve"> and </w:t>
      </w:r>
      <w:r>
        <w:rPr>
          <w:b/>
        </w:rPr>
        <w:t xml:space="preserve">Wabun Wind</w:t>
      </w:r>
      <w:r>
        <w:t xml:space="preserve">'s, from </w:t>
      </w:r>
      <w:r>
        <w:rPr>
          <w:i/>
        </w:rPr>
        <w:t xml:space="preserve">The Medicine Wheel: Earth Astrology</w:t>
      </w:r>
      <w:r>
        <w:t xml:space="preserve"> (Prentice-Hall, </w:t>
      </w:r>
      <w:r>
        <w:rPr>
          <w:b/>
        </w:rPr>
        <w:t xml:space="preserve">1980</w:t>
      </w:r>
      <w:r>
        <w:t xml:space="preserve">). It is a twentieth-century construction, and the book's own Author's Note says the system does not conform to "any way of gaining self-knowledge used by any particular tribe in the United States."</w:t>
      </w:r>
    </w:p>
    <w:p>
      <w:pPr>
        <w:pStyle w:val="Heading2"/>
      </w:pPr>
      <w:r>
        <w:t xml:space="preserve">In Sun Bear's system</w:t>
      </w:r>
    </w:p>
    <w:p>
      <w:r>
        <w:t xml:space="preserve">The book names this the </w:t>
      </w:r>
      <w:r>
        <w:rPr>
          <w:b/>
        </w:rPr>
        <w:t xml:space="preserve">Big Winds Moon</w:t>
      </w:r>
      <w:r>
        <w:t xml:space="preserve">, keeps it in the north under </w:t>
      </w:r>
      <w:r>
        <w:rPr>
          <w:b/>
        </w:rPr>
        <w:t xml:space="preserve">Waboose</w:t>
      </w:r>
      <w:r>
        <w:t xml:space="preserve">, and gives it the </w:t>
      </w:r>
      <w:r>
        <w:rPr>
          <w:b/>
        </w:rPr>
        <w:t xml:space="preserve">Frog clan</w:t>
      </w:r>
      <w:r>
        <w:t xml:space="preserve"> — water, among the book's four elemental clans. Plant: </w:t>
      </w:r>
      <w:r>
        <w:rPr>
          <w:b/>
        </w:rPr>
        <w:t xml:space="preserve">plantain</w:t>
      </w:r>
      <w:r>
        <w:t xml:space="preserve">. Mineral: </w:t>
      </w:r>
      <w:r>
        <w:rPr>
          <w:b/>
        </w:rPr>
        <w:t xml:space="preserve">turquoise</w:t>
      </w:r>
      <w:r>
        <w:t xml:space="preserve">. Colour: </w:t>
      </w:r>
      <w:r>
        <w:rPr>
          <w:b/>
        </w:rPr>
        <w:t xml:space="preserve">blue and green</w:t>
      </w:r>
      <w:r>
        <w:t xml:space="preserve">. As always, those are the book's assignments and not a nation's.</w:t>
      </w:r>
    </w:p>
    <w:p>
      <w:pPr>
        <w:pStyle w:val="Heading2"/>
      </w:pPr>
      <w:r>
        <w:t xml:space="preserve">The mountain lion in real traditions</w:t>
      </w:r>
    </w:p>
    <w:p>
      <w:r>
        <w:t xml:space="preserve">The best-documented tradition here is </w:t>
      </w:r>
      <w:r>
        <w:rPr>
          <w:b/>
        </w:rPr>
        <w:t xml:space="preserve">Zuni</w:t>
      </w:r>
      <w:r>
        <w:t xml:space="preserve">, and it is specific enough to be worth setting out carefully. In the account </w:t>
      </w:r>
      <w:r>
        <w:rPr>
          <w:b/>
        </w:rPr>
        <w:t xml:space="preserve">Frank Hamilton Cushing</w:t>
      </w:r>
      <w:r>
        <w:t xml:space="preserve"> gave the Bureau of Ethnology in 1881, the Zuni divide the world into six regions, each with a colour, a sacred mountain and a guardian animal — a </w:t>
      </w:r>
      <w:r>
        <w:rPr>
          <w:b/>
        </w:rPr>
        <w:t xml:space="preserve">Prey God</w:t>
      </w:r>
      <w:r>
        <w:t xml:space="preserve">:</w:t>
      </w:r>
    </w:p>
    <w:tbl>
      <w:tblPr>
        <w:tblStyle w:val="TableGrid"/>
        <w:tblW w:w="0" w:type="auto"/>
      </w:tblPr>
      <w:tblGrid>
        <w:gridCol w:w="2400"/>
        <w:gridCol w:w="2400"/>
        <w:gridCol w:w="2400"/>
      </w:tblGrid>
      <w:tr>
        <w:trPr>
          <w:tblHeader/>
        </w:trPr>
        <w:tc>
          <w:tcPr>
            <w:tcW w:w="2400" w:type="dxa"/>
          </w:tcPr>
          <w:p>
            <w:pPr>
              <w:pStyle w:val="TableText"/>
            </w:pPr>
            <w:r>
              <w:rPr>
                <w:b/>
              </w:rPr>
              <w:t xml:space="preserve">Direction</w:t>
            </w:r>
          </w:p>
        </w:tc>
        <w:tc>
          <w:tcPr>
            <w:tcW w:w="2400" w:type="dxa"/>
          </w:tcPr>
          <w:p>
            <w:pPr>
              <w:pStyle w:val="TableText"/>
            </w:pPr>
            <w:r>
              <w:rPr>
                <w:b/>
              </w:rPr>
              <w:t xml:space="preserve">Colour</w:t>
            </w:r>
          </w:p>
        </w:tc>
        <w:tc>
          <w:tcPr>
            <w:tcW w:w="2400" w:type="dxa"/>
          </w:tcPr>
          <w:p>
            <w:pPr>
              <w:pStyle w:val="TableText"/>
            </w:pPr>
            <w:r>
              <w:rPr>
                <w:b/>
              </w:rPr>
              <w:t xml:space="preserve">Guardian</w:t>
            </w:r>
          </w:p>
        </w:tc>
      </w:tr>
      <w:tr>
        <w:tc>
          <w:tcPr>
            <w:tcW w:w="2400" w:type="dxa"/>
          </w:tcPr>
          <w:p>
            <w:pPr>
              <w:pStyle w:val="TableText"/>
            </w:pPr>
            <w:r>
              <w:t xml:space="preserve">North</w:t>
            </w:r>
          </w:p>
        </w:tc>
        <w:tc>
          <w:tcPr>
            <w:tcW w:w="2400" w:type="dxa"/>
          </w:tcPr>
          <w:p>
            <w:pPr>
              <w:pStyle w:val="TableText"/>
            </w:pPr>
            <w:r>
              <w:t xml:space="preserve">yellow</w:t>
            </w:r>
          </w:p>
        </w:tc>
        <w:tc>
          <w:tcPr>
            <w:tcW w:w="2400" w:type="dxa"/>
          </w:tcPr>
          <w:p>
            <w:pPr>
              <w:pStyle w:val="TableText"/>
            </w:pPr>
            <w:r>
              <w:rPr>
                <w:b/>
              </w:rPr>
              <w:t xml:space="preserve">mountain lion</w:t>
            </w:r>
          </w:p>
        </w:tc>
      </w:tr>
      <w:tr>
        <w:tc>
          <w:tcPr>
            <w:tcW w:w="2400" w:type="dxa"/>
          </w:tcPr>
          <w:p>
            <w:pPr>
              <w:pStyle w:val="TableText"/>
            </w:pPr>
            <w:r>
              <w:t xml:space="preserve">West</w:t>
            </w:r>
          </w:p>
        </w:tc>
        <w:tc>
          <w:tcPr>
            <w:tcW w:w="2400" w:type="dxa"/>
          </w:tcPr>
          <w:p>
            <w:pPr>
              <w:pStyle w:val="TableText"/>
            </w:pPr>
            <w:r>
              <w:t xml:space="preserve">blue</w:t>
            </w:r>
          </w:p>
        </w:tc>
        <w:tc>
          <w:tcPr>
            <w:tcW w:w="2400" w:type="dxa"/>
          </w:tcPr>
          <w:p>
            <w:pPr>
              <w:pStyle w:val="TableText"/>
            </w:pPr>
            <w:r>
              <w:t xml:space="preserve">black bear</w:t>
            </w:r>
          </w:p>
        </w:tc>
      </w:tr>
      <w:tr>
        <w:tc>
          <w:tcPr>
            <w:tcW w:w="2400" w:type="dxa"/>
          </w:tcPr>
          <w:p>
            <w:pPr>
              <w:pStyle w:val="TableText"/>
            </w:pPr>
            <w:r>
              <w:t xml:space="preserve">South</w:t>
            </w:r>
          </w:p>
        </w:tc>
        <w:tc>
          <w:tcPr>
            <w:tcW w:w="2400" w:type="dxa"/>
          </w:tcPr>
          <w:p>
            <w:pPr>
              <w:pStyle w:val="TableText"/>
            </w:pPr>
            <w:r>
              <w:t xml:space="preserve">red</w:t>
            </w:r>
          </w:p>
        </w:tc>
        <w:tc>
          <w:tcPr>
            <w:tcW w:w="2400" w:type="dxa"/>
          </w:tcPr>
          <w:p>
            <w:pPr>
              <w:pStyle w:val="TableText"/>
            </w:pPr>
            <w:r>
              <w:t xml:space="preserve">badger</w:t>
            </w:r>
          </w:p>
        </w:tc>
      </w:tr>
      <w:tr>
        <w:tc>
          <w:tcPr>
            <w:tcW w:w="2400" w:type="dxa"/>
          </w:tcPr>
          <w:p>
            <w:pPr>
              <w:pStyle w:val="TableText"/>
            </w:pPr>
            <w:r>
              <w:t xml:space="preserve">East</w:t>
            </w:r>
          </w:p>
        </w:tc>
        <w:tc>
          <w:tcPr>
            <w:tcW w:w="2400" w:type="dxa"/>
          </w:tcPr>
          <w:p>
            <w:pPr>
              <w:pStyle w:val="TableText"/>
            </w:pPr>
            <w:r>
              <w:t xml:space="preserve">white</w:t>
            </w:r>
          </w:p>
        </w:tc>
        <w:tc>
          <w:tcPr>
            <w:tcW w:w="2400" w:type="dxa"/>
          </w:tcPr>
          <w:p>
            <w:pPr>
              <w:pStyle w:val="TableText"/>
            </w:pPr>
            <w:r>
              <w:t xml:space="preserve">wolf</w:t>
            </w:r>
          </w:p>
        </w:tc>
      </w:tr>
      <w:tr>
        <w:tc>
          <w:tcPr>
            <w:tcW w:w="2400" w:type="dxa"/>
          </w:tcPr>
          <w:p>
            <w:pPr>
              <w:pStyle w:val="TableText"/>
            </w:pPr>
            <w:r>
              <w:t xml:space="preserve">Above</w:t>
            </w:r>
          </w:p>
        </w:tc>
        <w:tc>
          <w:tcPr>
            <w:tcW w:w="2400" w:type="dxa"/>
          </w:tcPr>
          <w:p>
            <w:pPr>
              <w:pStyle w:val="TableText"/>
            </w:pPr>
            <w:r>
              <w:t xml:space="preserve">multicoloured</w:t>
            </w:r>
          </w:p>
        </w:tc>
        <w:tc>
          <w:tcPr>
            <w:tcW w:w="2400" w:type="dxa"/>
          </w:tcPr>
          <w:p>
            <w:pPr>
              <w:pStyle w:val="TableText"/>
            </w:pPr>
            <w:r>
              <w:t xml:space="preserve">eagle</w:t>
            </w:r>
          </w:p>
        </w:tc>
      </w:tr>
      <w:tr>
        <w:tc>
          <w:tcPr>
            <w:tcW w:w="2400" w:type="dxa"/>
          </w:tcPr>
          <w:p>
            <w:pPr>
              <w:pStyle w:val="TableText"/>
            </w:pPr>
            <w:r>
              <w:t xml:space="preserve">Below</w:t>
            </w:r>
          </w:p>
        </w:tc>
        <w:tc>
          <w:tcPr>
            <w:tcW w:w="2400" w:type="dxa"/>
          </w:tcPr>
          <w:p>
            <w:pPr>
              <w:pStyle w:val="TableText"/>
            </w:pPr>
            <w:r>
              <w:t xml:space="preserve">black</w:t>
            </w:r>
          </w:p>
        </w:tc>
        <w:tc>
          <w:tcPr>
            <w:tcW w:w="2400" w:type="dxa"/>
          </w:tcPr>
          <w:p>
            <w:pPr>
              <w:pStyle w:val="TableText"/>
            </w:pPr>
            <w:r>
              <w:t xml:space="preserve">shrew</w:t>
            </w:r>
          </w:p>
        </w:tc>
      </w:tr>
    </w:tbl>
    <w:p/>
    <w:p>
      <w:r>
        <w:t xml:space="preserve">The mountain lion is not simply the north's guardian. Cushing records it as "the elder brother of all animals and the master and guardian of all regions" — first among the six. Two further sets exist alongside this one: the Prey Gods of the Hunt, in which coyote replaces bear and wildcat replaces badger, and the Prey Gods of the Priesthood of the Bow.</w:t>
      </w:r>
    </w:p>
    <w:p>
      <w:r>
        <w:t xml:space="preserve">Two cautions. First, </w:t>
      </w:r>
      <w:r>
        <w:rPr>
          <w:b/>
        </w:rPr>
        <w:t xml:space="preserve">this is the Zuni scheme</w:t>
      </w:r>
      <w:r>
        <w:t xml:space="preserve">, reported by one nineteenth-century ethnographer. Carving is shared more widely — Hopi, Navajo and other Pueblo peoples, particularly at Kewa Pueblo, also carved and used fetishes — but the directional assignments above should not be described as pan-Puebloan, and they are not the same as any other nation's four-directions teaching. Second, a fetish is not a curio: </w:t>
      </w:r>
      <w:r>
        <w:rPr>
          <w:b/>
        </w:rPr>
        <w:t xml:space="preserve">true Zuni fetishes do not leave the village</w:t>
      </w:r>
      <w:r>
        <w:t xml:space="preserve">. They are blessed, kept by the carver or a designated recipient, given ceremonial feedings of ground cornmeal and pulverised turquoise, and held by medicine-order priests as mediators with the animals they represent. Carvings made for sale are produced without religious intent, and some Zuni carvers prefer to call those simply "carvings."</w:t>
      </w:r>
    </w:p>
    <w:p>
      <w:r>
        <w:t xml:space="preserve">Beyond Zuni the record thins quickly, and this page will not stretch it. Cougar traditions are attributed in general reference works to the Hocąk, Cheyenne, Apache, Walapai and Cherokee, but the sourcing behind those attributions is weak enough that naming them here would give a false impression of solidity. The </w:t>
      </w:r>
      <w:r>
        <w:rPr>
          <w:b/>
        </w:rPr>
        <w:t xml:space="preserve">Stone Lions</w:t>
      </w:r>
      <w:r>
        <w:t xml:space="preserve"> shrine near Cochiti, often cited in this connection, is not documented in the works this page draws on.</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3200 BCE</w:t>
            </w:r>
          </w:p>
        </w:tc>
        <w:tc>
          <w:tcPr>
            <w:tcW w:w="2400" w:type="dxa"/>
          </w:tcPr>
          <w:p>
            <w:pPr>
              <w:pStyle w:val="TableText"/>
            </w:pPr>
            <w:r>
              <w:t xml:space="preserve">The </w:t>
            </w:r>
            <w:r>
              <w:rPr>
                <w:b/>
              </w:rPr>
              <w:t xml:space="preserve">Majorville</w:t>
            </w:r>
            <w:r>
              <w:t xml:space="preserve"> cairn and medicine wheel, Alberta — 28 spokes, dated by artefact stratification</w:t>
            </w:r>
          </w:p>
        </w:tc>
      </w:tr>
      <w:tr>
        <w:tc>
          <w:tcPr>
            <w:tcW w:w="2400" w:type="dxa"/>
          </w:tcPr>
          <w:p>
            <w:pPr>
              <w:pStyle w:val="TableText"/>
            </w:pPr>
            <w:r>
              <w:t xml:space="preserve">pre-contact</w:t>
            </w:r>
          </w:p>
        </w:tc>
        <w:tc>
          <w:tcPr>
            <w:tcW w:w="2400" w:type="dxa"/>
          </w:tcPr>
          <w:p>
            <w:pPr>
              <w:pStyle w:val="TableText"/>
            </w:pPr>
            <w:r>
              <w:t xml:space="preserve">The </w:t>
            </w:r>
            <w:r>
              <w:rPr>
                <w:b/>
              </w:rPr>
              <w:t xml:space="preserve">Bighorn</w:t>
            </w:r>
            <w:r>
              <w:t xml:space="preserve"> wheel, Wyoming — 28 spokes, seven cairns, no established construction date</w:t>
            </w:r>
          </w:p>
        </w:tc>
      </w:tr>
      <w:tr>
        <w:tc>
          <w:tcPr>
            <w:tcW w:w="2400" w:type="dxa"/>
          </w:tcPr>
          <w:p>
            <w:pPr>
              <w:pStyle w:val="TableText"/>
            </w:pPr>
            <w:r>
              <w:t xml:space="preserve">1881 / 1883</w:t>
            </w:r>
          </w:p>
        </w:tc>
        <w:tc>
          <w:tcPr>
            <w:tcW w:w="2400" w:type="dxa"/>
          </w:tcPr>
          <w:p>
            <w:pPr>
              <w:pStyle w:val="TableText"/>
            </w:pPr>
            <w:r>
              <w:rPr>
                <w:b/>
              </w:rPr>
              <w:t xml:space="preserve">Cushing</w:t>
            </w:r>
            <w:r>
              <w:t xml:space="preserve"> reports the Zuni six directions and their Prey Gods to the Bureau of Ethnology; republished as </w:t>
            </w:r>
            <w:r>
              <w:rPr>
                <w:i/>
              </w:rPr>
              <w:t xml:space="preserve">Zuni Fetishes</w:t>
            </w:r>
            <w:r>
              <w:t xml:space="preserve">, 1966</w:t>
            </w:r>
          </w:p>
        </w:tc>
      </w:tr>
      <w:tr>
        <w:tc>
          <w:tcPr>
            <w:tcW w:w="2400" w:type="dxa"/>
          </w:tcPr>
          <w:p>
            <w:pPr>
              <w:pStyle w:val="TableText"/>
            </w:pPr>
            <w:r>
              <w:rPr>
                <w:b/>
              </w:rPr>
              <w:t xml:space="preserve">1883</w:t>
            </w:r>
          </w:p>
        </w:tc>
        <w:tc>
          <w:tcPr>
            <w:tcW w:w="2400" w:type="dxa"/>
          </w:tcPr>
          <w:p>
            <w:pPr>
              <w:pStyle w:val="TableText"/>
            </w:pPr>
            <w:r>
              <w:t xml:space="preserve">The US </w:t>
            </w:r>
            <w:r>
              <w:rPr>
                <w:b/>
              </w:rPr>
              <w:t xml:space="preserve">Code of Indian Offenses</w:t>
            </w:r>
            <w:r>
              <w:t xml:space="preserve"> outlaws the Sun Dance and "the usual practices of the medicine man"</w:t>
            </w:r>
          </w:p>
        </w:tc>
      </w:tr>
      <w:tr>
        <w:tc>
          <w:tcPr>
            <w:tcW w:w="2400" w:type="dxa"/>
          </w:tcPr>
          <w:p>
            <w:pPr>
              <w:pStyle w:val="TableText"/>
            </w:pPr>
            <w:r>
              <w:rPr>
                <w:b/>
              </w:rPr>
              <w:t xml:space="preserve">1884–95</w:t>
            </w:r>
          </w:p>
        </w:tc>
        <w:tc>
          <w:tcPr>
            <w:tcW w:w="2400" w:type="dxa"/>
          </w:tcPr>
          <w:p>
            <w:pPr>
              <w:pStyle w:val="TableText"/>
            </w:pPr>
            <w:r>
              <w:t xml:space="preserve">Canada's </w:t>
            </w:r>
            <w:r>
              <w:rPr>
                <w:b/>
              </w:rPr>
              <w:t xml:space="preserve">Indian Act</w:t>
            </w:r>
            <w:r>
              <w:t xml:space="preserve"> amendments ban the potlatch, then ceremonies involving "wounding or mutilation"</w:t>
            </w:r>
          </w:p>
        </w:tc>
      </w:tr>
      <w:tr>
        <w:tc>
          <w:tcPr>
            <w:tcW w:w="2400" w:type="dxa"/>
          </w:tcPr>
          <w:p>
            <w:pPr>
              <w:pStyle w:val="TableText"/>
            </w:pPr>
            <w:r>
              <w:t xml:space="preserve">1903</w:t>
            </w:r>
          </w:p>
        </w:tc>
        <w:tc>
          <w:tcPr>
            <w:tcW w:w="2400" w:type="dxa"/>
          </w:tcPr>
          <w:p>
            <w:pPr>
              <w:pStyle w:val="TableText"/>
            </w:pPr>
            <w:r>
              <w:t xml:space="preserve">S. C. Simms surveys Bighorn — </w:t>
            </w:r>
            <w:r>
              <w:rPr>
                <w:i/>
              </w:rPr>
              <w:t xml:space="preserve">American Anthropologist</w:t>
            </w:r>
            <w:r>
              <w:t xml:space="preserve"> 5: 107–110</w:t>
            </w:r>
          </w:p>
        </w:tc>
      </w:tr>
      <w:tr>
        <w:tc>
          <w:tcPr>
            <w:tcW w:w="2400" w:type="dxa"/>
          </w:tcPr>
          <w:p>
            <w:pPr>
              <w:pStyle w:val="TableText"/>
            </w:pPr>
            <w:r>
              <w:t xml:space="preserve">1930s</w:t>
            </w:r>
          </w:p>
        </w:tc>
        <w:tc>
          <w:tcPr>
            <w:tcW w:w="2400" w:type="dxa"/>
          </w:tcPr>
          <w:p>
            <w:pPr>
              <w:pStyle w:val="TableText"/>
            </w:pPr>
            <w:r>
              <w:t xml:space="preserve">The eastern cougar is effectively gone; the US Fish and Wildlife Service later concludes extinction dates from this decade</w:t>
            </w:r>
          </w:p>
        </w:tc>
      </w:tr>
      <w:tr>
        <w:tc>
          <w:tcPr>
            <w:tcW w:w="2400" w:type="dxa"/>
          </w:tcPr>
          <w:p>
            <w:pPr>
              <w:pStyle w:val="TableText"/>
            </w:pPr>
            <w:r>
              <w:rPr>
                <w:b/>
              </w:rPr>
              <w:t xml:space="preserve">1951</w:t>
            </w:r>
          </w:p>
        </w:tc>
        <w:tc>
          <w:tcPr>
            <w:tcW w:w="2400" w:type="dxa"/>
          </w:tcPr>
          <w:p>
            <w:pPr>
              <w:pStyle w:val="TableText"/>
            </w:pPr>
            <w:r>
              <w:t xml:space="preserve">Canada's ceremonial prohibitions are repealed</w:t>
            </w:r>
          </w:p>
        </w:tc>
      </w:tr>
      <w:tr>
        <w:tc>
          <w:tcPr>
            <w:tcW w:w="2400" w:type="dxa"/>
          </w:tcPr>
          <w:p>
            <w:pPr>
              <w:pStyle w:val="TableText"/>
            </w:pPr>
            <w:r>
              <w:t xml:space="preserve">c. 1970</w:t>
            </w:r>
          </w:p>
        </w:tc>
        <w:tc>
          <w:tcPr>
            <w:tcW w:w="2400" w:type="dxa"/>
          </w:tcPr>
          <w:p>
            <w:pPr>
              <w:pStyle w:val="TableText"/>
            </w:pPr>
            <w:r>
              <w:t xml:space="preserve">Sun Bear forms the </w:t>
            </w:r>
            <w:r>
              <w:rPr>
                <w:b/>
              </w:rPr>
              <w:t xml:space="preserve">Bear Tribe</w:t>
            </w:r>
            <w:r>
              <w:t xml:space="preserve"> </w:t>
            </w:r>
            <w:r>
              <w:rPr>
                <w:i/>
              </w:rPr>
              <w:t xml:space="preserve">(date widely repeated, not firmly sourced)</w:t>
            </w:r>
          </w:p>
        </w:tc>
      </w:tr>
      <w:tr>
        <w:tc>
          <w:tcPr>
            <w:tcW w:w="2400" w:type="dxa"/>
          </w:tcPr>
          <w:p>
            <w:pPr>
              <w:pStyle w:val="TableText"/>
            </w:pPr>
            <w:r>
              <w:t xml:space="preserve">1974</w:t>
            </w:r>
          </w:p>
        </w:tc>
        <w:tc>
          <w:tcPr>
            <w:tcW w:w="2400" w:type="dxa"/>
          </w:tcPr>
          <w:p>
            <w:pPr>
              <w:pStyle w:val="TableText"/>
            </w:pPr>
            <w:r>
              <w:t xml:space="preserve">Eddy's </w:t>
            </w:r>
            <w:r>
              <w:rPr>
                <w:i/>
              </w:rPr>
              <w:t xml:space="preserve">Science</w:t>
            </w:r>
            <w:r>
              <w:t xml:space="preserve"> paper on Bighorn; </w:t>
            </w:r>
            <w:r>
              <w:rPr>
                <w:b/>
              </w:rPr>
              <w:t xml:space="preserve">Schaefer (1986)</w:t>
            </w:r>
            <w:r>
              <w:t xml:space="preserve"> finds no statistical support for the stellar alignments</w:t>
            </w:r>
          </w:p>
        </w:tc>
      </w:tr>
      <w:tr>
        <w:tc>
          <w:tcPr>
            <w:tcW w:w="2400" w:type="dxa"/>
          </w:tcPr>
          <w:p>
            <w:pPr>
              <w:pStyle w:val="TableText"/>
            </w:pPr>
            <w:r>
              <w:rPr>
                <w:b/>
              </w:rPr>
              <w:t xml:space="preserve">11 Aug 1978</w:t>
            </w:r>
          </w:p>
        </w:tc>
        <w:tc>
          <w:tcPr>
            <w:tcW w:w="2400" w:type="dxa"/>
          </w:tcPr>
          <w:p>
            <w:pPr>
              <w:pStyle w:val="TableText"/>
            </w:pPr>
            <w:r>
              <w:t xml:space="preserve">The </w:t>
            </w:r>
            <w:r>
              <w:rPr>
                <w:b/>
              </w:rPr>
              <w:t xml:space="preserve">American Indian Religious Freedom Act</w:t>
            </w:r>
            <w:r>
              <w:t xml:space="preserve"> is signed</w:t>
            </w:r>
          </w:p>
        </w:tc>
      </w:tr>
      <w:tr>
        <w:tc>
          <w:tcPr>
            <w:tcW w:w="2400" w:type="dxa"/>
          </w:tcPr>
          <w:p>
            <w:pPr>
              <w:pStyle w:val="TableText"/>
            </w:pPr>
            <w:r>
              <w:rPr>
                <w:b/>
              </w:rPr>
              <w:t xml:space="preserve">1980</w:t>
            </w:r>
          </w:p>
        </w:tc>
        <w:tc>
          <w:tcPr>
            <w:tcW w:w="2400" w:type="dxa"/>
          </w:tcPr>
          <w:p>
            <w:pPr>
              <w:pStyle w:val="TableText"/>
            </w:pPr>
            <w:r>
              <w:rPr>
                <w:b/>
              </w:rPr>
              <w:t xml:space="preserve">Sun Bear and Wabun Wind, </w:t>
            </w:r>
            <w:r>
              <w:rPr>
                <w:b/>
                <w:i/>
              </w:rPr>
              <w:t xml:space="preserve">The Medicine Wheel: Earth Astrology</w:t>
            </w:r>
            <w:r>
              <w:t xml:space="preserve"> — where this placement comes from</w:t>
            </w:r>
          </w:p>
        </w:tc>
      </w:tr>
      <w:tr>
        <w:tc>
          <w:tcPr>
            <w:tcW w:w="2400" w:type="dxa"/>
          </w:tcPr>
          <w:p>
            <w:pPr>
              <w:pStyle w:val="TableText"/>
            </w:pPr>
            <w:r>
              <w:t xml:space="preserve">1984</w:t>
            </w:r>
          </w:p>
        </w:tc>
        <w:tc>
          <w:tcPr>
            <w:tcW w:w="2400" w:type="dxa"/>
          </w:tcPr>
          <w:p>
            <w:pPr>
              <w:pStyle w:val="TableText"/>
            </w:pPr>
            <w:r>
              <w:t xml:space="preserve">The </w:t>
            </w:r>
            <w:r>
              <w:rPr>
                <w:b/>
              </w:rPr>
              <w:t xml:space="preserve">AIM Southwest chapter</w:t>
            </w:r>
            <w:r>
              <w:t xml:space="preserve"> resolution names Sun Bear and the Bear Tribe</w:t>
            </w:r>
          </w:p>
        </w:tc>
      </w:tr>
      <w:tr>
        <w:tc>
          <w:tcPr>
            <w:tcW w:w="2400" w:type="dxa"/>
          </w:tcPr>
          <w:p>
            <w:pPr>
              <w:pStyle w:val="TableText"/>
            </w:pPr>
            <w:r>
              <w:rPr>
                <w:b/>
              </w:rPr>
              <w:t xml:space="preserve">1992</w:t>
            </w:r>
            <w:r>
              <w:t xml:space="preserve"> / </w:t>
            </w:r>
            <w:r>
              <w:rPr>
                <w:b/>
              </w:rPr>
              <w:t xml:space="preserve">10 Jun 1993</w:t>
            </w:r>
          </w:p>
        </w:tc>
        <w:tc>
          <w:tcPr>
            <w:tcW w:w="2400" w:type="dxa"/>
          </w:tcPr>
          <w:p>
            <w:pPr>
              <w:pStyle w:val="TableText"/>
            </w:pPr>
            <w:r>
              <w:t xml:space="preserve">Sun Bear dies; the </w:t>
            </w:r>
            <w:r>
              <w:rPr>
                <w:b/>
                <w:i/>
              </w:rPr>
              <w:t xml:space="preserve">Declaration of War Against Exploiters of Lakota Spirituality</w:t>
            </w:r>
            <w:r>
              <w:t xml:space="preserve"> follows. It names no individuals</w:t>
            </w:r>
          </w:p>
        </w:tc>
      </w:tr>
      <w:tr>
        <w:tc>
          <w:tcPr>
            <w:tcW w:w="2400" w:type="dxa"/>
          </w:tcPr>
          <w:p>
            <w:pPr>
              <w:pStyle w:val="TableText"/>
            </w:pPr>
            <w:r>
              <w:t xml:space="preserve">2011 / 2018</w:t>
            </w:r>
          </w:p>
        </w:tc>
        <w:tc>
          <w:tcPr>
            <w:tcW w:w="2400" w:type="dxa"/>
          </w:tcPr>
          <w:p>
            <w:pPr>
              <w:pStyle w:val="TableText"/>
            </w:pPr>
            <w:r>
              <w:t xml:space="preserve">The eastern cougar is declared extinct, then formally de-listed</w:t>
            </w:r>
          </w:p>
        </w:tc>
      </w:tr>
    </w:tbl>
    <w:p/>
    <w:p>
      <w:pPr>
        <w:pStyle w:val="Heading2"/>
      </w:pPr>
      <w:r>
        <w:t xml:space="preserve">In the year</w:t>
      </w:r>
    </w:p>
    <w:p>
      <w:r>
        <w:t xml:space="preserve">Late February into March is the end of winter across the cougar's range, and the animal's habits do not change much with the season: it is solitary year-round, only mothers and kittens living in groups, and adults meet rarely. There is no rut to mark the month — cougars can breed at any time of year.</w:t>
      </w:r>
    </w:p>
    <w:p>
      <w:r>
        <w:t xml:space="preserve">What the span does match is range and endurance rather than event. The cougar has </w:t>
      </w:r>
      <w:r>
        <w:rPr>
          <w:b/>
        </w:rPr>
        <w:t xml:space="preserve">the largest range of any wild land animal in the Americas</w:t>
      </w:r>
      <w:r>
        <w:t xml:space="preserve">, 110 degrees of latitude from the Yukon to the southern Andes, and it holds the Guinness record for the animal with the most names — over forty in English alone. </w:t>
      </w:r>
      <w:r>
        <w:rPr>
          <w:i/>
        </w:rPr>
        <w:t xml:space="preserve">Cougar</w:t>
      </w:r>
      <w:r>
        <w:t xml:space="preserve"> came through French from Portuguese and ultimately Tupi; </w:t>
      </w:r>
      <w:r>
        <w:rPr>
          <w:i/>
        </w:rPr>
        <w:t xml:space="preserve">puma</w:t>
      </w:r>
      <w:r>
        <w:t xml:space="preserve"> is Quechua, first recorded in English in 1777; </w:t>
      </w:r>
      <w:r>
        <w:rPr>
          <w:i/>
        </w:rPr>
        <w:t xml:space="preserve">mountain lion</w:t>
      </w:r>
      <w:r>
        <w:t xml:space="preserve"> appears in writing in 1858; </w:t>
      </w:r>
      <w:r>
        <w:rPr>
          <w:i/>
        </w:rPr>
        <w:t xml:space="preserve">catamount</w:t>
      </w:r>
      <w:r>
        <w:t xml:space="preserve"> is a contraction of "cat of the mountain," in use since at least 1664.</w:t>
      </w:r>
    </w:p>
    <w:p>
      <w:r>
        <w:t xml:space="preserve">It was extirpated from eastern North America apart from Florida, and may now be recolonising, with confirmed animals turning up east of the current range.</w:t>
      </w:r>
    </w:p>
    <w:p>
      <w:r>
        <w:t xml:space="preserve">The moon names of the northern nations catch the snow the site's tooltip mentions rather better than the cougar does. </w:t>
      </w:r>
      <w:r>
        <w:rPr>
          <w:b/>
        </w:rPr>
        <w:t xml:space="preserve">Anishinaabemowin</w:t>
      </w:r>
      <w:r>
        <w:t xml:space="preserve"> gives March as </w:t>
      </w:r>
      <w:r>
        <w:rPr>
          <w:b/>
          <w:i/>
        </w:rPr>
        <w:t xml:space="preserve">Onaabani-giizis</w:t>
      </w:r>
      <w:r>
        <w:t xml:space="preserve">, the snowcrust moon, from </w:t>
      </w:r>
      <w:r>
        <w:rPr>
          <w:i/>
        </w:rPr>
        <w:t xml:space="preserve">onaabanad</w:t>
      </w:r>
      <w:r>
        <w:t xml:space="preserve">, "there is a crust on the snow"; </w:t>
      </w:r>
      <w:r>
        <w:rPr>
          <w:b/>
        </w:rPr>
        <w:t xml:space="preserve">Lakȟótiyapi</w:t>
      </w:r>
      <w:r>
        <w:t xml:space="preserve"> gives </w:t>
      </w:r>
      <w:r>
        <w:rPr>
          <w:b/>
          <w:i/>
        </w:rPr>
        <w:t xml:space="preserve">Ištáwičhayazaŋ Wí</w:t>
      </w:r>
      <w:r>
        <w:t xml:space="preserve">, the moon when their eyes hurt — snow blindness, off the late-winter glare. These are lunar months, only approximately aligned to Gregorian ones, and the names vary between communities.</w:t>
      </w:r>
    </w:p>
    <w:p>
      <w:pPr>
        <w:pStyle w:val="Heading2"/>
      </w:pPr>
      <w:r>
        <w:t xml:space="preserve">Related</w:t>
      </w:r>
    </w:p>
    <w:p>
      <w:pPr>
        <w:pStyle w:val="ListParagraph"/>
        <w:numPr>
          <w:ilvl w:val="0"/>
          <w:numId w:val="1"/>
        </w:numPr>
      </w:pPr>
      <w:hyperlink r:id="rId129">
        <w:r>
          <w:rPr>
            <w:color w:val="1F4E79"/>
            <w:u w:val="single"/>
          </w:rPr>
          <w:t xml:space="preserve">Medicine Wheel Totems</w:t>
        </w:r>
      </w:hyperlink>
      <w:r>
        <w:t xml:space="preserve"> — the system, the 1980 book, and the objections to it.</w:t>
      </w:r>
    </w:p>
    <w:p>
      <w:pPr>
        <w:pStyle w:val="ListParagraph"/>
        <w:numPr>
          <w:ilvl w:val="0"/>
          <w:numId w:val="1"/>
        </w:numPr>
      </w:pPr>
      <w:hyperlink r:id="rId130">
        <w:r>
          <w:rPr>
            <w:color w:val="1F4E79"/>
            <w:u w:val="single"/>
          </w:rPr>
          <w:t xml:space="preserve">Otter</w:t>
        </w:r>
      </w:hyperlink>
      <w:r>
        <w:t xml:space="preserve"> — the span before.</w:t>
      </w:r>
    </w:p>
    <w:p>
      <w:pPr>
        <w:pStyle w:val="ListParagraph"/>
        <w:numPr>
          <w:ilvl w:val="0"/>
          <w:numId w:val="1"/>
        </w:numPr>
      </w:pPr>
      <w:hyperlink r:id="rId131">
        <w:r>
          <w:rPr>
            <w:color w:val="1F4E79"/>
            <w:u w:val="single"/>
          </w:rPr>
          <w:t xml:space="preserve">Red Hawk</w:t>
        </w:r>
      </w:hyperlink>
      <w:r>
        <w:t xml:space="preserve"> — the span after.</w:t>
      </w:r>
    </w:p>
    <w:p>
      <w:pPr>
        <w:pStyle w:val="ListParagraph"/>
        <w:numPr>
          <w:ilvl w:val="0"/>
          <w:numId w:val="1"/>
        </w:numPr>
      </w:pPr>
      <w:hyperlink r:id="rId132">
        <w:r>
          <w:rPr>
            <w:color w:val="1F4E79"/>
            <w:u w:val="single"/>
          </w:rPr>
          <w:t xml:space="preserve">Brown Bear</w:t>
        </w:r>
      </w:hyperlink>
      <w:r>
        <w:t xml:space="preserve"> — the west guardian in the same Zuni scheme.</w:t>
      </w:r>
    </w:p>
    <w:p>
      <w:pPr>
        <w:pStyle w:val="ListParagraph"/>
        <w:numPr>
          <w:ilvl w:val="0"/>
          <w:numId w:val="1"/>
        </w:numPr>
      </w:pPr>
      <w:hyperlink r:id="rId133">
        <w:r>
          <w:rPr>
            <w:color w:val="1F4E79"/>
            <w:u w:val="single"/>
          </w:rPr>
          <w:t xml:space="preserve">World Zodiacs</w:t>
        </w:r>
      </w:hyperlink>
      <w:r>
        <w:t xml:space="preserve"> · </w:t>
      </w:r>
      <w:hyperlink r:id="rId134">
        <w:r>
          <w:rPr>
            <w:color w:val="1F4E79"/>
            <w:u w:val="single"/>
          </w:rPr>
          <w:t xml:space="preserve">Religion</w:t>
        </w:r>
      </w:hyperlink>
      <w:r>
        <w:t xml:space="preserve"> · </w:t>
      </w:r>
      <w:hyperlink r:id="rId135">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medicine-wheel/cougar-medicine-wheel" TargetMode="External"/><Relationship Id="rId101" Type="http://schemas.openxmlformats.org/officeDocument/2006/relationships/hyperlink" Target="https://www.agoramores.com/tags/indigenous" TargetMode="External"/><Relationship Id="rId102" Type="http://schemas.openxmlformats.org/officeDocument/2006/relationships/hyperlink" Target="https://www.agoramores.com/culture/zodiac/medicine-wheel/brown-bear-medicine-wheel" TargetMode="External"/><Relationship Id="rId103" Type="http://schemas.openxmlformats.org/officeDocument/2006/relationships/hyperlink" Target="https://www.agoramores.com/culture/zodiac/medicine-wheel" TargetMode="External"/><Relationship Id="rId104" Type="http://schemas.openxmlformats.org/officeDocument/2006/relationships/hyperlink" Target="https://www.agoramores.com/culture/zodiac/medicine-wheel/beaver-medicine-wheel" TargetMode="External"/><Relationship Id="rId105" Type="http://schemas.openxmlformats.org/officeDocument/2006/relationships/hyperlink" Target="https://www.agoramores.com/culture/zodiac/medicine-wheel/deer-medicine-wheel" TargetMode="External"/><Relationship Id="rId106" Type="http://schemas.openxmlformats.org/officeDocument/2006/relationships/hyperlink" Target="https://www.agoramores.com/culture/zodiac/medicine-wheel/elk-medicine-wheel" TargetMode="External"/><Relationship Id="rId107" Type="http://schemas.openxmlformats.org/officeDocument/2006/relationships/hyperlink" Target="https://www.agoramores.com/culture/zodiac/medicine-wheel/flicker-medicine-wheel" TargetMode="External"/><Relationship Id="rId108" Type="http://schemas.openxmlformats.org/officeDocument/2006/relationships/hyperlink" Target="https://www.agoramores.com/tags/earth-astrology" TargetMode="External"/><Relationship Id="rId109" Type="http://schemas.openxmlformats.org/officeDocument/2006/relationships/hyperlink" Target="https://www.agoramores.com/culture/zodiac/medicine-wheel/otter-medicine-wheel" TargetMode="External"/><Relationship Id="rId110" Type="http://schemas.openxmlformats.org/officeDocument/2006/relationships/hyperlink" Target="https://www.agoramores.com/culture/zodiac/medicine-wheel/raven-medicine-wheel" TargetMode="External"/><Relationship Id="rId111" Type="http://schemas.openxmlformats.org/officeDocument/2006/relationships/hyperlink" Target="https://www.agoramores.com/culture/zodiac/medicine-wheel/red-hawk-medicine-wheel" TargetMode="External"/><Relationship Id="rId112" Type="http://schemas.openxmlformats.org/officeDocument/2006/relationships/hyperlink" Target="https://www.agoramores.com/culture/zodiac/medicine-wheel/snake-medicine-wheel" TargetMode="External"/><Relationship Id="rId113" Type="http://schemas.openxmlformats.org/officeDocument/2006/relationships/hyperlink" Target="https://www.agoramores.com/culture/zodiac/medicine-wheel/snow-goose-medicine-wheel" TargetMode="External"/><Relationship Id="rId114" Type="http://schemas.openxmlformats.org/officeDocument/2006/relationships/hyperlink" Target="https://www.agoramores.com/culture/zodiac/medicine-wheel/sturgeon-medicine-wheel" TargetMode="External"/><Relationship Id="rId115" Type="http://schemas.openxmlformats.org/officeDocument/2006/relationships/hyperlink" Target="https://www.agoramores.com/tags/zodiac" TargetMode="External"/><Relationship Id="rId116" Type="http://schemas.openxmlformats.org/officeDocument/2006/relationships/hyperlink" Target="https://www.agoramores.com/culture/zodiac/western/gemini" TargetMode="External"/><Relationship Id="rId117" Type="http://schemas.openxmlformats.org/officeDocument/2006/relationships/hyperlink" Target="https://www.agoramores.com/culture/zodiac" TargetMode="External"/><Relationship Id="rId118" Type="http://schemas.openxmlformats.org/officeDocument/2006/relationships/hyperlink" Target="https://www.agoramores.com/culture/zodiac/maya" TargetMode="External"/><Relationship Id="rId119" Type="http://schemas.openxmlformats.org/officeDocument/2006/relationships/hyperlink" Target="https://www.agoramores.com/culture/zodiac/western" TargetMode="External"/><Relationship Id="rId120" Type="http://schemas.openxmlformats.org/officeDocument/2006/relationships/hyperlink" Target="https://www.agoramores.com/culture/zodiac/celtic" TargetMode="External"/><Relationship Id="rId121" Type="http://schemas.openxmlformats.org/officeDocument/2006/relationships/hyperlink" Target="https://www.agoramores.com/culture/zodiac/vedic" TargetMode="External"/><Relationship Id="rId122" Type="http://schemas.openxmlformats.org/officeDocument/2006/relationships/hyperlink" Target="https://www.agoramores.com/tags/culture" TargetMode="External"/><Relationship Id="rId123" Type="http://schemas.openxmlformats.org/officeDocument/2006/relationships/hyperlink" Target="https://www.agoramores.com/culture/languages/german" TargetMode="External"/><Relationship Id="rId124" Type="http://schemas.openxmlformats.org/officeDocument/2006/relationships/hyperlink" Target="https://www.agoramores.com/culture/languages/hindi" TargetMode="External"/><Relationship Id="rId125" Type="http://schemas.openxmlformats.org/officeDocument/2006/relationships/hyperlink" Target="https://www.agoramores.com/culture/fine-arts/glass-blowing" TargetMode="External"/><Relationship Id="rId126" Type="http://schemas.openxmlformats.org/officeDocument/2006/relationships/hyperlink" Target="https://www.agoramores.com/culture/languages/norwegian" TargetMode="External"/><Relationship Id="rId127" Type="http://schemas.openxmlformats.org/officeDocument/2006/relationships/hyperlink" Target="https://www.agoramores.com/culture/languages/sinhala" TargetMode="External"/><Relationship Id="rId128" Type="http://schemas.openxmlformats.org/officeDocument/2006/relationships/hyperlink" Target="https://www.agoramores.com/culture/arts-community-organizations" TargetMode="External"/><Relationship Id="rId129" Type="http://schemas.openxmlformats.org/officeDocument/2006/relationships/hyperlink" Target="https://www.agoramores.com/culture/zodiac/medicine-wheel/portal" TargetMode="External"/><Relationship Id="rId130" Type="http://schemas.openxmlformats.org/officeDocument/2006/relationships/hyperlink" Target="https://www.agoramores.com/culture/zodiac/medicine-wheel/otter-medicine-wheel" TargetMode="External"/><Relationship Id="rId131" Type="http://schemas.openxmlformats.org/officeDocument/2006/relationships/hyperlink" Target="https://www.agoramores.com/culture/zodiac/medicine-wheel/red-hawk-medicine-wheel" TargetMode="External"/><Relationship Id="rId132" Type="http://schemas.openxmlformats.org/officeDocument/2006/relationships/hyperlink" Target="https://www.agoramores.com/culture/zodiac/medicine-wheel/brown-bear-medicine-wheel" TargetMode="External"/><Relationship Id="rId133" Type="http://schemas.openxmlformats.org/officeDocument/2006/relationships/hyperlink" Target="https://www.agoramores.com/culture/zodiac/portal" TargetMode="External"/><Relationship Id="rId134" Type="http://schemas.openxmlformats.org/officeDocument/2006/relationships/hyperlink" Target="https://www.agoramores.com/religion/portal" TargetMode="External"/><Relationship Id="rId135"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Cougar (Medicine Wheel)</dc:title>
  <dc:creator>Agoramores</dc:creator>
  <cp:keywords>culture, zodiac, medicine-wheel, earth-astrology, indigenous</cp:keywords>
  <dcterms:created xsi:type="dcterms:W3CDTF">2026-08-22T08:30:11Z</dcterms:created>
</cp:coreProperties>
</file>