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Muluk</w:t>
      </w:r>
    </w:p>
    <w:p>
      <w:pPr>
        <w:pStyle w:val="Subtitle"/>
      </w:pPr>
      <w:hyperlink r:id="rId100">
        <w:r>
          <w:rPr>
            <w:color w:val="1F4E79"/>
            <w:u w:val="single"/>
          </w:rPr>
          <w:t xml:space="preserve">https://www.agoramores.com/culture/zodiac/maya/muluk</w:t>
        </w:r>
      </w:hyperlink>
    </w:p>
    <w:p>
      <w:pPr>
        <w:pStyle w:val="Subtitle"/>
      </w:pPr>
      <w:r>
        <w:t xml:space="preserve">Tags: culture · zodiac · tzolkin · maya · mesoamerica</w:t>
      </w:r>
    </w:p>
    <w:p>
      <w:pPr>
        <w:pBdr>
          <w:bottom w:val="single" w:sz="6" w:space="1" w:color="808080"/>
        </w:pBdr>
      </w:pPr>
    </w:p>
    <w:p>
      <w:pPr>
        <w:pStyle w:val="Heading1"/>
      </w:pPr>
      <w:r>
        <w:t xml:space="preserve">Related</w:t>
      </w:r>
    </w:p>
    <w:p>
      <w:pPr>
        <w:pStyle w:val="Heading2"/>
      </w:pPr>
      <w:hyperlink r:id="rId101">
        <w:r>
          <w:rPr>
            <w:color w:val="1F4E79"/>
            <w:u w:val="single"/>
          </w:rPr>
          <w:t xml:space="preserve">mesoamerica</w:t>
        </w:r>
      </w:hyperlink>
    </w:p>
    <w:p>
      <w:pPr>
        <w:pStyle w:val="ListParagraph"/>
        <w:numPr>
          <w:ilvl w:val="0"/>
          <w:numId w:val="1"/>
        </w:numPr>
      </w:pPr>
      <w:hyperlink r:id="rId102">
        <w:r>
          <w:rPr>
            <w:color w:val="1F4E79"/>
            <w:u w:val="single"/>
          </w:rPr>
          <w:t xml:space="preserve">maya</w:t>
        </w:r>
      </w:hyperlink>
    </w:p>
    <w:p>
      <w:pPr>
        <w:pStyle w:val="ListParagraph"/>
        <w:numPr>
          <w:ilvl w:val="0"/>
          <w:numId w:val="1"/>
        </w:numPr>
      </w:pPr>
      <w:hyperlink r:id="rId103">
        <w:r>
          <w:rPr>
            <w:color w:val="1F4E79"/>
            <w:u w:val="single"/>
          </w:rPr>
          <w:t xml:space="preserve">Ajaw</w:t>
        </w:r>
      </w:hyperlink>
    </w:p>
    <w:p>
      <w:pPr>
        <w:pStyle w:val="ListParagraph"/>
        <w:numPr>
          <w:ilvl w:val="0"/>
          <w:numId w:val="1"/>
        </w:numPr>
      </w:pPr>
      <w:hyperlink r:id="rId104">
        <w:r>
          <w:rPr>
            <w:color w:val="1F4E79"/>
            <w:u w:val="single"/>
          </w:rPr>
          <w:t xml:space="preserve">Ak'b'al</w:t>
        </w:r>
      </w:hyperlink>
    </w:p>
    <w:p>
      <w:pPr>
        <w:pStyle w:val="ListParagraph"/>
        <w:numPr>
          <w:ilvl w:val="0"/>
          <w:numId w:val="1"/>
        </w:numPr>
      </w:pPr>
      <w:hyperlink r:id="rId105">
        <w:r>
          <w:rPr>
            <w:color w:val="1F4E79"/>
            <w:u w:val="single"/>
          </w:rPr>
          <w:t xml:space="preserve">B'en</w:t>
        </w:r>
      </w:hyperlink>
    </w:p>
    <w:p>
      <w:pPr>
        <w:pStyle w:val="ListParagraph"/>
        <w:numPr>
          <w:ilvl w:val="0"/>
          <w:numId w:val="1"/>
        </w:numPr>
      </w:pPr>
      <w:hyperlink r:id="rId106">
        <w:r>
          <w:rPr>
            <w:color w:val="1F4E79"/>
            <w:u w:val="single"/>
          </w:rPr>
          <w:t xml:space="preserve">Chikchan</w:t>
        </w:r>
      </w:hyperlink>
    </w:p>
    <w:p>
      <w:pPr>
        <w:pStyle w:val="ListParagraph"/>
        <w:numPr>
          <w:ilvl w:val="0"/>
          <w:numId w:val="1"/>
        </w:numPr>
      </w:pPr>
      <w:hyperlink r:id="rId107">
        <w:r>
          <w:rPr>
            <w:color w:val="1F4E79"/>
            <w:u w:val="single"/>
          </w:rPr>
          <w:t xml:space="preserve">Chuwen</w:t>
        </w:r>
      </w:hyperlink>
    </w:p>
    <w:p>
      <w:pPr>
        <w:pStyle w:val="Heading2"/>
      </w:pPr>
      <w:hyperlink r:id="rId108">
        <w:r>
          <w:rPr>
            <w:color w:val="1F4E79"/>
            <w:u w:val="single"/>
          </w:rPr>
          <w:t xml:space="preserve">maya</w:t>
        </w:r>
      </w:hyperlink>
    </w:p>
    <w:p>
      <w:pPr>
        <w:pStyle w:val="ListParagraph"/>
        <w:numPr>
          <w:ilvl w:val="0"/>
          <w:numId w:val="1"/>
        </w:numPr>
      </w:pPr>
      <w:hyperlink r:id="rId109">
        <w:r>
          <w:rPr>
            <w:color w:val="1F4E79"/>
            <w:u w:val="single"/>
          </w:rPr>
          <w:t xml:space="preserve">Eb'</w:t>
        </w:r>
      </w:hyperlink>
    </w:p>
    <w:p>
      <w:pPr>
        <w:pStyle w:val="ListParagraph"/>
        <w:numPr>
          <w:ilvl w:val="0"/>
          <w:numId w:val="1"/>
        </w:numPr>
      </w:pPr>
      <w:hyperlink r:id="rId110">
        <w:r>
          <w:rPr>
            <w:color w:val="1F4E79"/>
            <w:u w:val="single"/>
          </w:rPr>
          <w:t xml:space="preserve">Ik'</w:t>
        </w:r>
      </w:hyperlink>
    </w:p>
    <w:p>
      <w:pPr>
        <w:pStyle w:val="ListParagraph"/>
        <w:numPr>
          <w:ilvl w:val="0"/>
          <w:numId w:val="1"/>
        </w:numPr>
      </w:pPr>
      <w:hyperlink r:id="rId111">
        <w:r>
          <w:rPr>
            <w:color w:val="1F4E79"/>
            <w:u w:val="single"/>
          </w:rPr>
          <w:t xml:space="preserve">Imix</w:t>
        </w:r>
      </w:hyperlink>
    </w:p>
    <w:p>
      <w:pPr>
        <w:pStyle w:val="ListParagraph"/>
        <w:numPr>
          <w:ilvl w:val="0"/>
          <w:numId w:val="1"/>
        </w:numPr>
      </w:pPr>
      <w:hyperlink r:id="rId112">
        <w:r>
          <w:rPr>
            <w:color w:val="1F4E79"/>
            <w:u w:val="single"/>
          </w:rPr>
          <w:t xml:space="preserve">Ix</w:t>
        </w:r>
      </w:hyperlink>
    </w:p>
    <w:p>
      <w:pPr>
        <w:pStyle w:val="ListParagraph"/>
        <w:numPr>
          <w:ilvl w:val="0"/>
          <w:numId w:val="1"/>
        </w:numPr>
      </w:pPr>
      <w:hyperlink r:id="rId113">
        <w:r>
          <w:rPr>
            <w:color w:val="1F4E79"/>
            <w:u w:val="single"/>
          </w:rPr>
          <w:t xml:space="preserve">K'an</w:t>
        </w:r>
      </w:hyperlink>
    </w:p>
    <w:p>
      <w:pPr>
        <w:pStyle w:val="ListParagraph"/>
        <w:numPr>
          <w:ilvl w:val="0"/>
          <w:numId w:val="1"/>
        </w:numPr>
      </w:pPr>
      <w:hyperlink r:id="rId114">
        <w:r>
          <w:rPr>
            <w:color w:val="1F4E79"/>
            <w:u w:val="single"/>
          </w:rPr>
          <w:t xml:space="preserve">K'ib'</w:t>
        </w:r>
      </w:hyperlink>
    </w:p>
    <w:p>
      <w:pPr>
        <w:pStyle w:val="Heading2"/>
      </w:pPr>
      <w:hyperlink r:id="rId115">
        <w:r>
          <w:rPr>
            <w:color w:val="1F4E79"/>
            <w:u w:val="single"/>
          </w:rPr>
          <w:t xml:space="preserve">tzolkin</w:t>
        </w:r>
      </w:hyperlink>
    </w:p>
    <w:p>
      <w:pPr>
        <w:pStyle w:val="ListParagraph"/>
        <w:numPr>
          <w:ilvl w:val="0"/>
          <w:numId w:val="1"/>
        </w:numPr>
      </w:pPr>
      <w:hyperlink r:id="rId116">
        <w:r>
          <w:rPr>
            <w:color w:val="1F4E79"/>
            <w:u w:val="single"/>
          </w:rPr>
          <w:t xml:space="preserve">Kab'an</w:t>
        </w:r>
      </w:hyperlink>
    </w:p>
    <w:p>
      <w:pPr>
        <w:pStyle w:val="ListParagraph"/>
        <w:numPr>
          <w:ilvl w:val="0"/>
          <w:numId w:val="1"/>
        </w:numPr>
      </w:pPr>
      <w:hyperlink r:id="rId117">
        <w:r>
          <w:rPr>
            <w:color w:val="1F4E79"/>
            <w:u w:val="single"/>
          </w:rPr>
          <w:t xml:space="preserve">Kawak</w:t>
        </w:r>
      </w:hyperlink>
    </w:p>
    <w:p>
      <w:pPr>
        <w:pStyle w:val="ListParagraph"/>
        <w:numPr>
          <w:ilvl w:val="0"/>
          <w:numId w:val="1"/>
        </w:numPr>
      </w:pPr>
      <w:hyperlink r:id="rId118">
        <w:r>
          <w:rPr>
            <w:color w:val="1F4E79"/>
            <w:u w:val="single"/>
          </w:rPr>
          <w:t xml:space="preserve">Lamat</w:t>
        </w:r>
      </w:hyperlink>
    </w:p>
    <w:p>
      <w:pPr>
        <w:pStyle w:val="ListParagraph"/>
        <w:numPr>
          <w:ilvl w:val="0"/>
          <w:numId w:val="1"/>
        </w:numPr>
      </w:pPr>
      <w:hyperlink r:id="rId119">
        <w:r>
          <w:rPr>
            <w:color w:val="1F4E79"/>
            <w:u w:val="single"/>
          </w:rPr>
          <w:t xml:space="preserve">Manik'</w:t>
        </w:r>
      </w:hyperlink>
    </w:p>
    <w:p>
      <w:pPr>
        <w:pStyle w:val="ListParagraph"/>
        <w:numPr>
          <w:ilvl w:val="0"/>
          <w:numId w:val="1"/>
        </w:numPr>
      </w:pPr>
      <w:hyperlink r:id="rId120">
        <w:r>
          <w:rPr>
            <w:color w:val="1F4E79"/>
            <w:u w:val="single"/>
          </w:rPr>
          <w:t xml:space="preserve">Ok</w:t>
        </w:r>
      </w:hyperlink>
    </w:p>
    <w:p>
      <w:pPr>
        <w:pStyle w:val="ListParagraph"/>
        <w:numPr>
          <w:ilvl w:val="0"/>
          <w:numId w:val="1"/>
        </w:numPr>
      </w:pPr>
      <w:hyperlink r:id="rId121">
        <w:r>
          <w:rPr>
            <w:color w:val="1F4E79"/>
            <w:u w:val="single"/>
          </w:rPr>
          <w:t xml:space="preserve">Etz'nab'</w:t>
        </w:r>
      </w:hyperlink>
    </w:p>
    <w:p>
      <w:pPr>
        <w:pStyle w:val="Heading2"/>
      </w:pPr>
      <w:hyperlink r:id="rId122">
        <w:r>
          <w:rPr>
            <w:color w:val="1F4E79"/>
            <w:u w:val="single"/>
          </w:rPr>
          <w:t xml:space="preserve">zodiac</w:t>
        </w:r>
      </w:hyperlink>
    </w:p>
    <w:p>
      <w:pPr>
        <w:pStyle w:val="ListParagraph"/>
        <w:numPr>
          <w:ilvl w:val="0"/>
          <w:numId w:val="1"/>
        </w:numPr>
      </w:pPr>
      <w:hyperlink r:id="rId123">
        <w:r>
          <w:rPr>
            <w:color w:val="1F4E79"/>
            <w:u w:val="single"/>
          </w:rPr>
          <w:t xml:space="preserve">zodiac</w:t>
        </w:r>
      </w:hyperlink>
    </w:p>
    <w:p>
      <w:pPr>
        <w:pStyle w:val="ListParagraph"/>
        <w:numPr>
          <w:ilvl w:val="0"/>
          <w:numId w:val="1"/>
        </w:numPr>
      </w:pPr>
      <w:hyperlink r:id="rId124">
        <w:r>
          <w:rPr>
            <w:color w:val="1F4E79"/>
            <w:u w:val="single"/>
          </w:rPr>
          <w:t xml:space="preserve">western</w:t>
        </w:r>
      </w:hyperlink>
    </w:p>
    <w:p>
      <w:pPr>
        <w:pStyle w:val="ListParagraph"/>
        <w:numPr>
          <w:ilvl w:val="0"/>
          <w:numId w:val="1"/>
        </w:numPr>
      </w:pPr>
      <w:hyperlink r:id="rId125">
        <w:r>
          <w:rPr>
            <w:color w:val="1F4E79"/>
            <w:u w:val="single"/>
          </w:rPr>
          <w:t xml:space="preserve">celtic</w:t>
        </w:r>
      </w:hyperlink>
    </w:p>
    <w:p>
      <w:pPr>
        <w:pStyle w:val="ListParagraph"/>
        <w:numPr>
          <w:ilvl w:val="0"/>
          <w:numId w:val="1"/>
        </w:numPr>
      </w:pPr>
      <w:hyperlink r:id="rId126">
        <w:r>
          <w:rPr>
            <w:color w:val="1F4E79"/>
            <w:u w:val="single"/>
          </w:rPr>
          <w:t xml:space="preserve">Capricorn</w:t>
        </w:r>
      </w:hyperlink>
    </w:p>
    <w:p>
      <w:pPr>
        <w:pStyle w:val="ListParagraph"/>
        <w:numPr>
          <w:ilvl w:val="0"/>
          <w:numId w:val="1"/>
        </w:numPr>
      </w:pPr>
      <w:hyperlink r:id="rId127">
        <w:r>
          <w:rPr>
            <w:color w:val="1F4E79"/>
            <w:u w:val="single"/>
          </w:rPr>
          <w:t xml:space="preserve">Otter (Medicine Wheel)</w:t>
        </w:r>
      </w:hyperlink>
    </w:p>
    <w:p>
      <w:pPr>
        <w:pStyle w:val="ListParagraph"/>
        <w:numPr>
          <w:ilvl w:val="0"/>
          <w:numId w:val="1"/>
        </w:numPr>
      </w:pPr>
      <w:hyperlink r:id="rId128">
        <w:r>
          <w:rPr>
            <w:color w:val="1F4E79"/>
            <w:u w:val="single"/>
          </w:rPr>
          <w:t xml:space="preserve">Sturgeon (Medicine Wheel)</w:t>
        </w:r>
      </w:hyperlink>
    </w:p>
    <w:p>
      <w:pPr>
        <w:pStyle w:val="Heading2"/>
      </w:pPr>
      <w:hyperlink r:id="rId129">
        <w:r>
          <w:rPr>
            <w:color w:val="1F4E79"/>
            <w:u w:val="single"/>
          </w:rPr>
          <w:t xml:space="preserve">culture</w:t>
        </w:r>
      </w:hyperlink>
    </w:p>
    <w:p>
      <w:pPr>
        <w:pStyle w:val="ListParagraph"/>
        <w:numPr>
          <w:ilvl w:val="0"/>
          <w:numId w:val="1"/>
        </w:numPr>
      </w:pPr>
      <w:hyperlink r:id="rId130">
        <w:r>
          <w:rPr>
            <w:color w:val="1F4E79"/>
            <w:u w:val="single"/>
          </w:rPr>
          <w:t xml:space="preserve">languages</w:t>
        </w:r>
      </w:hyperlink>
    </w:p>
    <w:p>
      <w:pPr>
        <w:pStyle w:val="ListParagraph"/>
        <w:numPr>
          <w:ilvl w:val="0"/>
          <w:numId w:val="1"/>
        </w:numPr>
      </w:pPr>
      <w:hyperlink r:id="rId131">
        <w:r>
          <w:rPr>
            <w:color w:val="1F4E79"/>
            <w:u w:val="single"/>
          </w:rPr>
          <w:t xml:space="preserve">culture</w:t>
        </w:r>
      </w:hyperlink>
    </w:p>
    <w:p>
      <w:pPr>
        <w:pStyle w:val="ListParagraph"/>
        <w:numPr>
          <w:ilvl w:val="0"/>
          <w:numId w:val="1"/>
        </w:numPr>
      </w:pPr>
      <w:hyperlink r:id="rId132">
        <w:r>
          <w:rPr>
            <w:color w:val="1F4E79"/>
            <w:u w:val="single"/>
          </w:rPr>
          <w:t xml:space="preserve">Arabic Speaking</w:t>
        </w:r>
      </w:hyperlink>
    </w:p>
    <w:p>
      <w:pPr>
        <w:pStyle w:val="ListParagraph"/>
        <w:numPr>
          <w:ilvl w:val="0"/>
          <w:numId w:val="1"/>
        </w:numPr>
      </w:pPr>
      <w:hyperlink r:id="rId133">
        <w:r>
          <w:rPr>
            <w:color w:val="1F4E79"/>
            <w:u w:val="single"/>
          </w:rPr>
          <w:t xml:space="preserve">English Speaking</w:t>
        </w:r>
      </w:hyperlink>
    </w:p>
    <w:p>
      <w:pPr>
        <w:pStyle w:val="ListParagraph"/>
        <w:numPr>
          <w:ilvl w:val="0"/>
          <w:numId w:val="1"/>
        </w:numPr>
      </w:pPr>
      <w:hyperlink r:id="rId134">
        <w:r>
          <w:rPr>
            <w:color w:val="1F4E79"/>
            <w:u w:val="single"/>
          </w:rPr>
          <w:t xml:space="preserve">Urdu</w:t>
        </w:r>
      </w:hyperlink>
    </w:p>
    <w:p>
      <w:pPr>
        <w:pStyle w:val="ListParagraph"/>
        <w:numPr>
          <w:ilvl w:val="0"/>
          <w:numId w:val="1"/>
        </w:numPr>
      </w:pPr>
      <w:hyperlink r:id="rId135">
        <w:r>
          <w:rPr>
            <w:color w:val="1F4E79"/>
            <w:u w:val="single"/>
          </w:rPr>
          <w:t xml:space="preserve">Willow (Celtic Tree Calendar)</w:t>
        </w:r>
      </w:hyperlink>
    </w:p>
    <w:p>
      <w:pPr>
        <w:pStyle w:val="Heading1"/>
      </w:pPr>
      <w:r>
        <w:t xml:space="preserve">Muluk</w:t>
      </w:r>
    </w:p>
    <w:p>
      <w:r>
        <w:rPr>
          <w:b/>
        </w:rPr>
        <w:t xml:space="preserve">Ninth of the twenty.</w:t>
      </w:r>
      <w:r>
        <w:t xml:space="preserve"> Yucatec </w:t>
      </w:r>
      <w:r>
        <w:rPr>
          <w:b/>
        </w:rPr>
        <w:t xml:space="preserve">Muluk</w:t>
      </w:r>
      <w:r>
        <w:t xml:space="preserve">; K'iche' </w:t>
      </w:r>
      <w:r>
        <w:rPr>
          <w:b/>
        </w:rPr>
        <w:t xml:space="preserve">Toj</w:t>
      </w:r>
      <w:r>
        <w:t xml:space="preserve">. The Classic main sign is a rounded form with a central element, described in the epigraphic literature variously as a water drop, a jade bead, or a fish head — the identification has never fully settled, and the honest position is that the sign belongs to the water-and-jade complex without a single agreed picture behind it. The site's tooltip gives it as </w:t>
      </w:r>
      <w:r>
        <w:rPr>
          <w:b/>
        </w:rPr>
        <w:t xml:space="preserve">water and offering</w:t>
      </w:r>
      <w:r>
        <w:t xml:space="preserve">. Direction east, colour red.</w:t>
      </w:r>
    </w:p>
    <w:p>
      <w:r>
        <w:t xml:space="preserve">The two readings in the tooltip come from two different languages. Yucatec </w:t>
      </w:r>
      <w:r>
        <w:rPr>
          <w:i/>
        </w:rPr>
        <w:t xml:space="preserve">Muluk</w:t>
      </w:r>
      <w:r>
        <w:t xml:space="preserve"> sits with water and jade; K'iche' </w:t>
      </w:r>
      <w:r>
        <w:rPr>
          <w:b/>
        </w:rPr>
        <w:t xml:space="preserve">Toj</w:t>
      </w:r>
      <w:r>
        <w:t xml:space="preserve"> means </w:t>
      </w:r>
      <w:r>
        <w:rPr>
          <w:i/>
        </w:rPr>
        <w:t xml:space="preserve">payment</w:t>
      </w:r>
      <w:r>
        <w:t xml:space="preserve">.</w:t>
      </w:r>
    </w:p>
    <w:p>
      <w:pPr>
        <w:pStyle w:val="Heading2"/>
      </w:pPr>
      <w:r>
        <w:t xml:space="preserve">Religion and daykeeping</w:t>
      </w:r>
    </w:p>
    <w:p>
      <w:r>
        <w:t xml:space="preserve">In </w:t>
      </w:r>
      <w:r>
        <w:rPr>
          <w:b/>
        </w:rPr>
        <w:t xml:space="preserve">living highland practice</w:t>
      </w:r>
      <w:r>
        <w:t xml:space="preserve">, Toj is the day of paying. Ethnographic accounts and Guatemalan Maya organisations describe it as the day for the fire ceremony and for offering — for settling what is owed, whether to the ancestors, to the earth, or to a neighbour, and for the understanding that a debt left standing will come back as trouble. Illness and misfortune are commonly read on this day as an account falling due rather than as a punishment, which changes what the response is: you pay it. It is also spoken of as a day of gratitude, and one of the strongest days for the fire. An </w:t>
      </w:r>
      <w:r>
        <w:rPr>
          <w:i/>
        </w:rPr>
        <w:t xml:space="preserve">ajq'ij</w:t>
      </w:r>
      <w:r>
        <w:t xml:space="preserve"> born on Toj is spoken of as someone who settles accounts, and who may find life exacting them frequently. What is offered, where, and in what order is taught inside the apprenticeship and is not set down here.</w:t>
      </w:r>
    </w:p>
    <w:p>
      <w:r>
        <w:t xml:space="preserve">Muluk is one of the four </w:t>
      </w:r>
      <w:r>
        <w:rPr>
          <w:b/>
        </w:rPr>
        <w:t xml:space="preserve">year bearers</w:t>
      </w:r>
      <w:r>
        <w:t xml:space="preserve"> in Landa's Yucatec set — K'an, Muluk, Ix, Kawak — holding the east and the colour red, which is what the four-direction rotation through the twenty independently predicts. It is that set that governs the </w:t>
      </w:r>
      <w:r>
        <w:rPr>
          <w:b/>
        </w:rPr>
        <w:t xml:space="preserve">Dresden Codex</w:t>
      </w:r>
      <w:r>
        <w:t xml:space="preserve"> new-year pages, 25 to 28, where each bearer is drawn with its direction, its patron and the rites attached to the year it opens. Those pages are the single best surviving picture of how a year-bearer ceremony was organised, and they are Postclassic, not Classic — a different source layer again from the stelae and from present-day practice.</w:t>
      </w:r>
    </w:p>
    <w:p>
      <w:r>
        <w:t xml:space="preserve">The </w:t>
      </w:r>
      <w:r>
        <w:rPr>
          <w:b/>
        </w:rPr>
        <w:t xml:space="preserve">Madrid Codex</w:t>
      </w:r>
      <w:r>
        <w:t xml:space="preserve">, overwhelmingly a collection of 260-day working almanacs, carries offering scenes throughout: figures presenting bowls, incense and food at day stations. The colonial </w:t>
      </w:r>
      <w:r>
        <w:rPr>
          <w:b/>
        </w:rPr>
        <w:t xml:space="preserve">Books of Chilam Balam</w:t>
      </w:r>
      <w:r>
        <w:t xml:space="preserve"> preserve day lists with short auguries and occupations attached, in a European almanac format holding Maya content.</w:t>
      </w:r>
    </w:p>
    <w:p>
      <w:r>
        <w:t xml:space="preserve">The Aztec cognate is </w:t>
      </w:r>
      <w:r>
        <w:rPr>
          <w:b/>
        </w:rPr>
        <w:t xml:space="preserve">Atl</w:t>
      </w:r>
      <w:r>
        <w:t xml:space="preserve">, water, whose patron is Xiuhtecuhtli, the fire lord — an inversion worth noticing. The Zapotec </w:t>
      </w:r>
      <w:r>
        <w:rPr>
          <w:i/>
        </w:rPr>
        <w:t xml:space="preserve">piyè</w:t>
      </w:r>
      <w:r>
        <w:t xml:space="preserve"> and the Mixtec codices hold the same position, conventionally glossed Water.</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600–500 BCE </w:t>
            </w:r>
            <w:r>
              <w:rPr>
                <w:i/>
              </w:rPr>
              <w:t xml:space="preserve">(contested)</w:t>
            </w:r>
          </w:p>
        </w:tc>
        <w:tc>
          <w:tcPr>
            <w:tcW w:w="2400" w:type="dxa"/>
          </w:tcPr>
          <w:p>
            <w:pPr>
              <w:pStyle w:val="TableText"/>
            </w:pPr>
            <w:r>
              <w:t xml:space="preserve">Earliest 260-day count glyphs, Oaxaca — San José Mogote and Monte Albán. Zapotec, not Maya.</w:t>
            </w:r>
          </w:p>
        </w:tc>
      </w:tr>
      <w:tr>
        <w:tc>
          <w:tcPr>
            <w:tcW w:w="2400" w:type="dxa"/>
          </w:tcPr>
          <w:p>
            <w:pPr>
              <w:pStyle w:val="TableText"/>
            </w:pPr>
            <w:r>
              <w:t xml:space="preserve">36 / 32 BCE</w:t>
            </w:r>
          </w:p>
        </w:tc>
        <w:tc>
          <w:tcPr>
            <w:tcW w:w="2400" w:type="dxa"/>
          </w:tcPr>
          <w:p>
            <w:pPr>
              <w:pStyle w:val="TableText"/>
            </w:pPr>
            <w:r>
              <w:t xml:space="preserve">Chiapa de Corzo Stela 2 and Tres Zapotes Stela C, the earliest dated Long Counts. Both partly reconstructed.</w:t>
            </w:r>
          </w:p>
        </w:tc>
      </w:tr>
      <w:tr>
        <w:tc>
          <w:tcPr>
            <w:tcW w:w="2400" w:type="dxa"/>
          </w:tcPr>
          <w:p>
            <w:pPr>
              <w:pStyle w:val="TableText"/>
            </w:pPr>
            <w:r>
              <w:t xml:space="preserve">c. 250–900 CE</w:t>
            </w:r>
          </w:p>
        </w:tc>
        <w:tc>
          <w:tcPr>
            <w:tcW w:w="2400" w:type="dxa"/>
          </w:tcPr>
          <w:p>
            <w:pPr>
              <w:pStyle w:val="TableText"/>
            </w:pPr>
            <w:r>
              <w:t xml:space="preserve">Classic period: day signs in cartouches with bar-and-dot coefficients across the lowlands.</w:t>
            </w:r>
          </w:p>
        </w:tc>
      </w:tr>
      <w:tr>
        <w:tc>
          <w:tcPr>
            <w:tcW w:w="2400" w:type="dxa"/>
          </w:tcPr>
          <w:p>
            <w:pPr>
              <w:pStyle w:val="TableText"/>
            </w:pPr>
            <w:r>
              <w:t xml:space="preserve">11th–12th c. CE </w:t>
            </w:r>
            <w:r>
              <w:rPr>
                <w:i/>
              </w:rPr>
              <w:t xml:space="preserve">(debated)</w:t>
            </w:r>
          </w:p>
        </w:tc>
        <w:tc>
          <w:tcPr>
            <w:tcW w:w="2400" w:type="dxa"/>
          </w:tcPr>
          <w:p>
            <w:pPr>
              <w:pStyle w:val="TableText"/>
            </w:pPr>
            <w:r>
              <w:t xml:space="preserve">The Dresden Codex copy, including new-year pages 25–28 with the K'an / Muluk / Ix / Kawak bearers.</w:t>
            </w:r>
          </w:p>
        </w:tc>
      </w:tr>
      <w:tr>
        <w:tc>
          <w:tcPr>
            <w:tcW w:w="2400" w:type="dxa"/>
          </w:tcPr>
          <w:p>
            <w:pPr>
              <w:pStyle w:val="TableText"/>
            </w:pPr>
            <w:r>
              <w:t xml:space="preserve">1562 / 1566</w:t>
            </w:r>
          </w:p>
        </w:tc>
        <w:tc>
          <w:tcPr>
            <w:tcW w:w="2400" w:type="dxa"/>
          </w:tcPr>
          <w:p>
            <w:pPr>
              <w:pStyle w:val="TableText"/>
            </w:pPr>
            <w:r>
              <w:t xml:space="preserve">Landa burns the books at Maní, then records the twenty day names and the Yucatec year bearers.</w:t>
            </w:r>
          </w:p>
        </w:tc>
      </w:tr>
      <w:tr>
        <w:tc>
          <w:tcPr>
            <w:tcW w:w="2400" w:type="dxa"/>
          </w:tcPr>
          <w:p>
            <w:pPr>
              <w:pStyle w:val="TableText"/>
            </w:pPr>
            <w:r>
              <w:t xml:space="preserve">1905–1935</w:t>
            </w:r>
          </w:p>
        </w:tc>
        <w:tc>
          <w:tcPr>
            <w:tcW w:w="2400" w:type="dxa"/>
          </w:tcPr>
          <w:p>
            <w:pPr>
              <w:pStyle w:val="TableText"/>
            </w:pPr>
            <w:r>
              <w:t xml:space="preserve">The Goodman–Martínez–Thompson correlation, constant 584283. Mainstream, not unanimous.</w:t>
            </w:r>
          </w:p>
        </w:tc>
      </w:tr>
      <w:tr>
        <w:tc>
          <w:tcPr>
            <w:tcW w:w="2400" w:type="dxa"/>
          </w:tcPr>
          <w:p>
            <w:pPr>
              <w:pStyle w:val="TableText"/>
            </w:pPr>
            <w:r>
              <w:t xml:space="preserve">11 Aug 3114 BCE</w:t>
            </w:r>
          </w:p>
        </w:tc>
        <w:tc>
          <w:tcPr>
            <w:tcW w:w="2400" w:type="dxa"/>
          </w:tcPr>
          <w:p>
            <w:pPr>
              <w:pStyle w:val="TableText"/>
            </w:pPr>
            <w:r>
              <w:t xml:space="preserve">Long Count zero under GMT 584283 (6 Sep 3114 BCE Julian); the 584285 variant gives 13 August.</w:t>
            </w:r>
          </w:p>
        </w:tc>
      </w:tr>
      <w:tr>
        <w:tc>
          <w:tcPr>
            <w:tcW w:w="2400" w:type="dxa"/>
          </w:tcPr>
          <w:p>
            <w:pPr>
              <w:pStyle w:val="TableText"/>
            </w:pPr>
            <w:r>
              <w:t xml:space="preserve">21 Dec 2012</w:t>
            </w:r>
          </w:p>
        </w:tc>
        <w:tc>
          <w:tcPr>
            <w:tcW w:w="2400" w:type="dxa"/>
          </w:tcPr>
          <w:p>
            <w:pPr>
              <w:pStyle w:val="TableText"/>
            </w:pPr>
            <w:r>
              <w:t xml:space="preserve">13.0.0.0.0, 4 Ajaw 3 K'ank'in — the anchor this site counts from.</w:t>
            </w:r>
          </w:p>
        </w:tc>
      </w:tr>
      <w:tr>
        <w:tc>
          <w:tcPr>
            <w:tcW w:w="2400" w:type="dxa"/>
          </w:tcPr>
          <w:p>
            <w:pPr>
              <w:pStyle w:val="TableText"/>
            </w:pPr>
            <w:r>
              <w:t xml:space="preserve">1995 / 1996</w:t>
            </w:r>
          </w:p>
        </w:tc>
        <w:tc>
          <w:tcPr>
            <w:tcW w:w="2400" w:type="dxa"/>
          </w:tcPr>
          <w:p>
            <w:pPr>
              <w:pStyle w:val="TableText"/>
            </w:pPr>
            <w:r>
              <w:t xml:space="preserve">Guatemala's Peace Accords recognise Maya spirituality and access to sacred places.</w:t>
            </w:r>
          </w:p>
        </w:tc>
      </w:tr>
    </w:tbl>
    <w:p/>
    <w:p>
      <w:pPr>
        <w:pStyle w:val="Heading2"/>
      </w:pPr>
      <w:r>
        <w:t xml:space="preserve">In the count</w:t>
      </w:r>
    </w:p>
    <w:p>
      <w:r>
        <w:t xml:space="preserve">Muluk returns </w:t>
      </w:r>
      <w:r>
        <w:rPr>
          <w:b/>
        </w:rPr>
        <w:t xml:space="preserve">every twenty days</w:t>
      </w:r>
      <w:r>
        <w:t xml:space="preserve">. Twenty leaves seven on division by thirteen, so each return carries a coefficient seven higher: 7, 1, 8, 2, 9, 3, 10, 4, 11, 5, 12, 6, 13. Thirteen appearances use every number once and take </w:t>
      </w:r>
      <w:r>
        <w:rPr>
          <w:b/>
        </w:rPr>
        <w:t xml:space="preserve">260 days</w:t>
      </w:r>
      <w:r>
        <w:t xml:space="preserve">.</w:t>
      </w:r>
    </w:p>
    <w:p>
      <w:r>
        <w:t xml:space="preserve">Upcoming in 2026, on the site's GMT anchor: </w:t>
      </w:r>
      <w:r>
        <w:rPr>
          <w:b/>
        </w:rPr>
        <w:t xml:space="preserve">19 August (1 Muluk)</w:t>
      </w:r>
      <w:r>
        <w:t xml:space="preserve">, </w:t>
      </w:r>
      <w:r>
        <w:rPr>
          <w:b/>
        </w:rPr>
        <w:t xml:space="preserve">8 September (8 Muluk)</w:t>
      </w:r>
      <w:r>
        <w:t xml:space="preserve">, </w:t>
      </w:r>
      <w:r>
        <w:rPr>
          <w:b/>
        </w:rPr>
        <w:t xml:space="preserve">28 September (2 Muluk)</w:t>
      </w:r>
      <w:r>
        <w:t xml:space="preserve">.</w:t>
      </w:r>
    </w:p>
    <w:p>
      <w:pPr>
        <w:pStyle w:val="Heading2"/>
      </w:pPr>
      <w:r>
        <w:t xml:space="preserve">Related</w:t>
      </w:r>
    </w:p>
    <w:p>
      <w:pPr>
        <w:pStyle w:val="ListParagraph"/>
        <w:numPr>
          <w:ilvl w:val="0"/>
          <w:numId w:val="1"/>
        </w:numPr>
      </w:pPr>
      <w:hyperlink r:id="rId136">
        <w:r>
          <w:rPr>
            <w:color w:val="1F4E79"/>
            <w:u w:val="single"/>
          </w:rPr>
          <w:t xml:space="preserve">Maya Tzolk'in</w:t>
        </w:r>
      </w:hyperlink>
      <w:r>
        <w:t xml:space="preserve"> — the system, the count, and what it is not.</w:t>
      </w:r>
    </w:p>
    <w:p>
      <w:pPr>
        <w:pStyle w:val="ListParagraph"/>
        <w:numPr>
          <w:ilvl w:val="0"/>
          <w:numId w:val="1"/>
        </w:numPr>
      </w:pPr>
      <w:hyperlink r:id="rId137">
        <w:r>
          <w:rPr>
            <w:color w:val="1F4E79"/>
            <w:u w:val="single"/>
          </w:rPr>
          <w:t xml:space="preserve">Lamat</w:t>
        </w:r>
      </w:hyperlink>
      <w:r>
        <w:t xml:space="preserve"> — the day before.</w:t>
      </w:r>
    </w:p>
    <w:p>
      <w:pPr>
        <w:pStyle w:val="ListParagraph"/>
        <w:numPr>
          <w:ilvl w:val="0"/>
          <w:numId w:val="1"/>
        </w:numPr>
      </w:pPr>
      <w:hyperlink r:id="rId138">
        <w:r>
          <w:rPr>
            <w:color w:val="1F4E79"/>
            <w:u w:val="single"/>
          </w:rPr>
          <w:t xml:space="preserve">Ok</w:t>
        </w:r>
      </w:hyperlink>
      <w:r>
        <w:t xml:space="preserve"> — the day after.</w:t>
      </w:r>
    </w:p>
    <w:p>
      <w:pPr>
        <w:pStyle w:val="ListParagraph"/>
        <w:numPr>
          <w:ilvl w:val="0"/>
          <w:numId w:val="1"/>
        </w:numPr>
      </w:pPr>
      <w:hyperlink r:id="rId139">
        <w:r>
          <w:rPr>
            <w:color w:val="1F4E79"/>
            <w:u w:val="single"/>
          </w:rPr>
          <w:t xml:space="preserve">World Zodiacs</w:t>
        </w:r>
      </w:hyperlink>
      <w:r>
        <w:t xml:space="preserve"> · </w:t>
      </w:r>
      <w:hyperlink r:id="rId140">
        <w:r>
          <w:rPr>
            <w:color w:val="1F4E79"/>
            <w:u w:val="single"/>
          </w:rPr>
          <w:t xml:space="preserve">Religion</w:t>
        </w:r>
      </w:hyperlink>
      <w:r>
        <w:t xml:space="preserve"> · </w:t>
      </w:r>
      <w:hyperlink r:id="rId141">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aya/muluk" TargetMode="External"/><Relationship Id="rId101" Type="http://schemas.openxmlformats.org/officeDocument/2006/relationships/hyperlink" Target="https://www.agoramores.com/tags/mesoamerica" TargetMode="External"/><Relationship Id="rId102" Type="http://schemas.openxmlformats.org/officeDocument/2006/relationships/hyperlink" Target="https://www.agoramores.com/culture/zodiac/maya" TargetMode="External"/><Relationship Id="rId103" Type="http://schemas.openxmlformats.org/officeDocument/2006/relationships/hyperlink" Target="https://www.agoramores.com/culture/zodiac/maya/ajaw" TargetMode="External"/><Relationship Id="rId104" Type="http://schemas.openxmlformats.org/officeDocument/2006/relationships/hyperlink" Target="https://www.agoramores.com/culture/zodiac/maya/akbal" TargetMode="External"/><Relationship Id="rId105" Type="http://schemas.openxmlformats.org/officeDocument/2006/relationships/hyperlink" Target="https://www.agoramores.com/culture/zodiac/maya/ben" TargetMode="External"/><Relationship Id="rId106" Type="http://schemas.openxmlformats.org/officeDocument/2006/relationships/hyperlink" Target="https://www.agoramores.com/culture/zodiac/maya/chikchan" TargetMode="External"/><Relationship Id="rId107" Type="http://schemas.openxmlformats.org/officeDocument/2006/relationships/hyperlink" Target="https://www.agoramores.com/culture/zodiac/maya/chuwen" TargetMode="External"/><Relationship Id="rId108" Type="http://schemas.openxmlformats.org/officeDocument/2006/relationships/hyperlink" Target="https://www.agoramores.com/tags/maya" TargetMode="External"/><Relationship Id="rId109" Type="http://schemas.openxmlformats.org/officeDocument/2006/relationships/hyperlink" Target="https://www.agoramores.com/culture/zodiac/maya/eb" TargetMode="External"/><Relationship Id="rId110" Type="http://schemas.openxmlformats.org/officeDocument/2006/relationships/hyperlink" Target="https://www.agoramores.com/culture/zodiac/maya/ik" TargetMode="External"/><Relationship Id="rId111" Type="http://schemas.openxmlformats.org/officeDocument/2006/relationships/hyperlink" Target="https://www.agoramores.com/culture/zodiac/maya/imix" TargetMode="External"/><Relationship Id="rId112" Type="http://schemas.openxmlformats.org/officeDocument/2006/relationships/hyperlink" Target="https://www.agoramores.com/culture/zodiac/maya/ix" TargetMode="External"/><Relationship Id="rId113" Type="http://schemas.openxmlformats.org/officeDocument/2006/relationships/hyperlink" Target="https://www.agoramores.com/culture/zodiac/maya/kan" TargetMode="External"/><Relationship Id="rId114" Type="http://schemas.openxmlformats.org/officeDocument/2006/relationships/hyperlink" Target="https://www.agoramores.com/culture/zodiac/maya/kib" TargetMode="External"/><Relationship Id="rId115" Type="http://schemas.openxmlformats.org/officeDocument/2006/relationships/hyperlink" Target="https://www.agoramores.com/tags/tzolkin" TargetMode="External"/><Relationship Id="rId116" Type="http://schemas.openxmlformats.org/officeDocument/2006/relationships/hyperlink" Target="https://www.agoramores.com/culture/zodiac/maya/kaban" TargetMode="External"/><Relationship Id="rId117" Type="http://schemas.openxmlformats.org/officeDocument/2006/relationships/hyperlink" Target="https://www.agoramores.com/culture/zodiac/maya/kawak" TargetMode="External"/><Relationship Id="rId118" Type="http://schemas.openxmlformats.org/officeDocument/2006/relationships/hyperlink" Target="https://www.agoramores.com/culture/zodiac/maya/lamat" TargetMode="External"/><Relationship Id="rId119" Type="http://schemas.openxmlformats.org/officeDocument/2006/relationships/hyperlink" Target="https://www.agoramores.com/culture/zodiac/maya/manik" TargetMode="External"/><Relationship Id="rId120" Type="http://schemas.openxmlformats.org/officeDocument/2006/relationships/hyperlink" Target="https://www.agoramores.com/culture/zodiac/maya/ok" TargetMode="External"/><Relationship Id="rId121" Type="http://schemas.openxmlformats.org/officeDocument/2006/relationships/hyperlink" Target="https://www.agoramores.com/culture/zodiac/maya/etznab" TargetMode="External"/><Relationship Id="rId122" Type="http://schemas.openxmlformats.org/officeDocument/2006/relationships/hyperlink" Target="https://www.agoramores.com/tags/zodiac" TargetMode="External"/><Relationship Id="rId123" Type="http://schemas.openxmlformats.org/officeDocument/2006/relationships/hyperlink" Target="https://www.agoramores.com/culture/zodiac" TargetMode="External"/><Relationship Id="rId124" Type="http://schemas.openxmlformats.org/officeDocument/2006/relationships/hyperlink" Target="https://www.agoramores.com/culture/zodiac/western" TargetMode="External"/><Relationship Id="rId125" Type="http://schemas.openxmlformats.org/officeDocument/2006/relationships/hyperlink" Target="https://www.agoramores.com/culture/zodiac/celtic" TargetMode="External"/><Relationship Id="rId126" Type="http://schemas.openxmlformats.org/officeDocument/2006/relationships/hyperlink" Target="https://www.agoramores.com/culture/zodiac/western/capricorn" TargetMode="External"/><Relationship Id="rId127" Type="http://schemas.openxmlformats.org/officeDocument/2006/relationships/hyperlink" Target="https://www.agoramores.com/culture/zodiac/medicine-wheel/otter-medicine-wheel" TargetMode="External"/><Relationship Id="rId128" Type="http://schemas.openxmlformats.org/officeDocument/2006/relationships/hyperlink" Target="https://www.agoramores.com/culture/zodiac/medicine-wheel/sturgeon-medicine-wheel" TargetMode="External"/><Relationship Id="rId129" Type="http://schemas.openxmlformats.org/officeDocument/2006/relationships/hyperlink" Target="https://www.agoramores.com/tags/culture" TargetMode="External"/><Relationship Id="rId130" Type="http://schemas.openxmlformats.org/officeDocument/2006/relationships/hyperlink" Target="https://www.agoramores.com/culture/languages" TargetMode="External"/><Relationship Id="rId131" Type="http://schemas.openxmlformats.org/officeDocument/2006/relationships/hyperlink" Target="https://www.agoramores.com/culture" TargetMode="External"/><Relationship Id="rId132" Type="http://schemas.openxmlformats.org/officeDocument/2006/relationships/hyperlink" Target="https://www.agoramores.com/culture/diaspora/arabic-speaking" TargetMode="External"/><Relationship Id="rId133" Type="http://schemas.openxmlformats.org/officeDocument/2006/relationships/hyperlink" Target="https://www.agoramores.com/culture/diaspora/english-speaking" TargetMode="External"/><Relationship Id="rId134" Type="http://schemas.openxmlformats.org/officeDocument/2006/relationships/hyperlink" Target="https://www.agoramores.com/culture/languages/urdu" TargetMode="External"/><Relationship Id="rId135" Type="http://schemas.openxmlformats.org/officeDocument/2006/relationships/hyperlink" Target="https://www.agoramores.com/culture/zodiac/celtic/willow-celtic-tree-calendar" TargetMode="External"/><Relationship Id="rId136" Type="http://schemas.openxmlformats.org/officeDocument/2006/relationships/hyperlink" Target="https://www.agoramores.com/culture/zodiac/maya/portal" TargetMode="External"/><Relationship Id="rId137" Type="http://schemas.openxmlformats.org/officeDocument/2006/relationships/hyperlink" Target="https://www.agoramores.com/culture/zodiac/maya/lamat" TargetMode="External"/><Relationship Id="rId138" Type="http://schemas.openxmlformats.org/officeDocument/2006/relationships/hyperlink" Target="https://www.agoramores.com/culture/zodiac/maya/ok" TargetMode="External"/><Relationship Id="rId139" Type="http://schemas.openxmlformats.org/officeDocument/2006/relationships/hyperlink" Target="https://www.agoramores.com/culture/zodiac/portal" TargetMode="External"/><Relationship Id="rId140" Type="http://schemas.openxmlformats.org/officeDocument/2006/relationships/hyperlink" Target="https://www.agoramores.com/religion/portal" TargetMode="External"/><Relationship Id="rId141"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Muluk</dc:title>
  <dc:creator>Agoramores</dc:creator>
  <cp:keywords>culture, zodiac, tzolkin, maya, mesoamerica</cp:keywords>
  <dcterms:created xsi:type="dcterms:W3CDTF">2026-08-21T06:58:39Z</dcterms:created>
</cp:coreProperties>
</file>