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Lamat</w:t>
      </w:r>
    </w:p>
    <w:p>
      <w:pPr>
        <w:pStyle w:val="Subtitle"/>
      </w:pPr>
      <w:hyperlink r:id="rId100">
        <w:r>
          <w:rPr>
            <w:color w:val="1F4E79"/>
            <w:u w:val="single"/>
          </w:rPr>
          <w:t xml:space="preserve">https://www.agoramores.com/culture/zodiac/maya/lamat</w:t>
        </w:r>
      </w:hyperlink>
    </w:p>
    <w:p>
      <w:pPr>
        <w:pStyle w:val="Subtitle"/>
      </w:pPr>
      <w:r>
        <w:t xml:space="preserve">Tags: culture · zodiac · tzolkin · maya · mesoamerica</w:t>
      </w:r>
    </w:p>
    <w:p>
      <w:pPr>
        <w:pBdr>
          <w:bottom w:val="single" w:sz="6" w:space="1" w:color="808080"/>
        </w:pBdr>
      </w:pPr>
    </w:p>
    <w:p>
      <w:pPr>
        <w:pStyle w:val="Heading1"/>
      </w:pPr>
      <w:r>
        <w:t xml:space="preserve">Related</w:t>
      </w:r>
    </w:p>
    <w:p>
      <w:pPr>
        <w:pStyle w:val="Heading2"/>
      </w:pPr>
      <w:hyperlink r:id="rId101">
        <w:r>
          <w:rPr>
            <w:color w:val="1F4E79"/>
            <w:u w:val="single"/>
          </w:rPr>
          <w:t xml:space="preserve">mesoamerica</w:t>
        </w:r>
      </w:hyperlink>
    </w:p>
    <w:p>
      <w:pPr>
        <w:pStyle w:val="ListParagraph"/>
        <w:numPr>
          <w:ilvl w:val="0"/>
          <w:numId w:val="1"/>
        </w:numPr>
      </w:pPr>
      <w:hyperlink r:id="rId102">
        <w:r>
          <w:rPr>
            <w:color w:val="1F4E79"/>
            <w:u w:val="single"/>
          </w:rPr>
          <w:t xml:space="preserve">maya</w:t>
        </w:r>
      </w:hyperlink>
    </w:p>
    <w:p>
      <w:pPr>
        <w:pStyle w:val="ListParagraph"/>
        <w:numPr>
          <w:ilvl w:val="0"/>
          <w:numId w:val="1"/>
        </w:numPr>
      </w:pPr>
      <w:hyperlink r:id="rId103">
        <w:r>
          <w:rPr>
            <w:color w:val="1F4E79"/>
            <w:u w:val="single"/>
          </w:rPr>
          <w:t xml:space="preserve">Ajaw</w:t>
        </w:r>
      </w:hyperlink>
    </w:p>
    <w:p>
      <w:pPr>
        <w:pStyle w:val="ListParagraph"/>
        <w:numPr>
          <w:ilvl w:val="0"/>
          <w:numId w:val="1"/>
        </w:numPr>
      </w:pPr>
      <w:hyperlink r:id="rId104">
        <w:r>
          <w:rPr>
            <w:color w:val="1F4E79"/>
            <w:u w:val="single"/>
          </w:rPr>
          <w:t xml:space="preserve">Ak'b'al</w:t>
        </w:r>
      </w:hyperlink>
    </w:p>
    <w:p>
      <w:pPr>
        <w:pStyle w:val="ListParagraph"/>
        <w:numPr>
          <w:ilvl w:val="0"/>
          <w:numId w:val="1"/>
        </w:numPr>
      </w:pPr>
      <w:hyperlink r:id="rId105">
        <w:r>
          <w:rPr>
            <w:color w:val="1F4E79"/>
            <w:u w:val="single"/>
          </w:rPr>
          <w:t xml:space="preserve">B'en</w:t>
        </w:r>
      </w:hyperlink>
    </w:p>
    <w:p>
      <w:pPr>
        <w:pStyle w:val="ListParagraph"/>
        <w:numPr>
          <w:ilvl w:val="0"/>
          <w:numId w:val="1"/>
        </w:numPr>
      </w:pPr>
      <w:hyperlink r:id="rId106">
        <w:r>
          <w:rPr>
            <w:color w:val="1F4E79"/>
            <w:u w:val="single"/>
          </w:rPr>
          <w:t xml:space="preserve">Chikchan</w:t>
        </w:r>
      </w:hyperlink>
    </w:p>
    <w:p>
      <w:pPr>
        <w:pStyle w:val="ListParagraph"/>
        <w:numPr>
          <w:ilvl w:val="0"/>
          <w:numId w:val="1"/>
        </w:numPr>
      </w:pPr>
      <w:hyperlink r:id="rId107">
        <w:r>
          <w:rPr>
            <w:color w:val="1F4E79"/>
            <w:u w:val="single"/>
          </w:rPr>
          <w:t xml:space="preserve">Chuwen</w:t>
        </w:r>
      </w:hyperlink>
    </w:p>
    <w:p>
      <w:pPr>
        <w:pStyle w:val="Heading2"/>
      </w:pPr>
      <w:hyperlink r:id="rId108">
        <w:r>
          <w:rPr>
            <w:color w:val="1F4E79"/>
            <w:u w:val="single"/>
          </w:rPr>
          <w:t xml:space="preserve">maya</w:t>
        </w:r>
      </w:hyperlink>
    </w:p>
    <w:p>
      <w:pPr>
        <w:pStyle w:val="ListParagraph"/>
        <w:numPr>
          <w:ilvl w:val="0"/>
          <w:numId w:val="1"/>
        </w:numPr>
      </w:pPr>
      <w:hyperlink r:id="rId109">
        <w:r>
          <w:rPr>
            <w:color w:val="1F4E79"/>
            <w:u w:val="single"/>
          </w:rPr>
          <w:t xml:space="preserve">Eb'</w:t>
        </w:r>
      </w:hyperlink>
    </w:p>
    <w:p>
      <w:pPr>
        <w:pStyle w:val="ListParagraph"/>
        <w:numPr>
          <w:ilvl w:val="0"/>
          <w:numId w:val="1"/>
        </w:numPr>
      </w:pPr>
      <w:hyperlink r:id="rId110">
        <w:r>
          <w:rPr>
            <w:color w:val="1F4E79"/>
            <w:u w:val="single"/>
          </w:rPr>
          <w:t xml:space="preserve">Ik'</w:t>
        </w:r>
      </w:hyperlink>
    </w:p>
    <w:p>
      <w:pPr>
        <w:pStyle w:val="ListParagraph"/>
        <w:numPr>
          <w:ilvl w:val="0"/>
          <w:numId w:val="1"/>
        </w:numPr>
      </w:pPr>
      <w:hyperlink r:id="rId111">
        <w:r>
          <w:rPr>
            <w:color w:val="1F4E79"/>
            <w:u w:val="single"/>
          </w:rPr>
          <w:t xml:space="preserve">Imix</w:t>
        </w:r>
      </w:hyperlink>
    </w:p>
    <w:p>
      <w:pPr>
        <w:pStyle w:val="ListParagraph"/>
        <w:numPr>
          <w:ilvl w:val="0"/>
          <w:numId w:val="1"/>
        </w:numPr>
      </w:pPr>
      <w:hyperlink r:id="rId112">
        <w:r>
          <w:rPr>
            <w:color w:val="1F4E79"/>
            <w:u w:val="single"/>
          </w:rPr>
          <w:t xml:space="preserve">Ix</w:t>
        </w:r>
      </w:hyperlink>
    </w:p>
    <w:p>
      <w:pPr>
        <w:pStyle w:val="ListParagraph"/>
        <w:numPr>
          <w:ilvl w:val="0"/>
          <w:numId w:val="1"/>
        </w:numPr>
      </w:pPr>
      <w:hyperlink r:id="rId113">
        <w:r>
          <w:rPr>
            <w:color w:val="1F4E79"/>
            <w:u w:val="single"/>
          </w:rPr>
          <w:t xml:space="preserve">K'an</w:t>
        </w:r>
      </w:hyperlink>
    </w:p>
    <w:p>
      <w:pPr>
        <w:pStyle w:val="ListParagraph"/>
        <w:numPr>
          <w:ilvl w:val="0"/>
          <w:numId w:val="1"/>
        </w:numPr>
      </w:pPr>
      <w:hyperlink r:id="rId114">
        <w:r>
          <w:rPr>
            <w:color w:val="1F4E79"/>
            <w:u w:val="single"/>
          </w:rPr>
          <w:t xml:space="preserve">K'ib'</w:t>
        </w:r>
      </w:hyperlink>
    </w:p>
    <w:p>
      <w:pPr>
        <w:pStyle w:val="Heading2"/>
      </w:pPr>
      <w:hyperlink r:id="rId115">
        <w:r>
          <w:rPr>
            <w:color w:val="1F4E79"/>
            <w:u w:val="single"/>
          </w:rPr>
          <w:t xml:space="preserve">tzolkin</w:t>
        </w:r>
      </w:hyperlink>
    </w:p>
    <w:p>
      <w:pPr>
        <w:pStyle w:val="ListParagraph"/>
        <w:numPr>
          <w:ilvl w:val="0"/>
          <w:numId w:val="1"/>
        </w:numPr>
      </w:pPr>
      <w:hyperlink r:id="rId116">
        <w:r>
          <w:rPr>
            <w:color w:val="1F4E79"/>
            <w:u w:val="single"/>
          </w:rPr>
          <w:t xml:space="preserve">Kab'an</w:t>
        </w:r>
      </w:hyperlink>
    </w:p>
    <w:p>
      <w:pPr>
        <w:pStyle w:val="ListParagraph"/>
        <w:numPr>
          <w:ilvl w:val="0"/>
          <w:numId w:val="1"/>
        </w:numPr>
      </w:pPr>
      <w:hyperlink r:id="rId117">
        <w:r>
          <w:rPr>
            <w:color w:val="1F4E79"/>
            <w:u w:val="single"/>
          </w:rPr>
          <w:t xml:space="preserve">Kawak</w:t>
        </w:r>
      </w:hyperlink>
    </w:p>
    <w:p>
      <w:pPr>
        <w:pStyle w:val="ListParagraph"/>
        <w:numPr>
          <w:ilvl w:val="0"/>
          <w:numId w:val="1"/>
        </w:numPr>
      </w:pPr>
      <w:hyperlink r:id="rId118">
        <w:r>
          <w:rPr>
            <w:color w:val="1F4E79"/>
            <w:u w:val="single"/>
          </w:rPr>
          <w:t xml:space="preserve">Manik'</w:t>
        </w:r>
      </w:hyperlink>
    </w:p>
    <w:p>
      <w:pPr>
        <w:pStyle w:val="ListParagraph"/>
        <w:numPr>
          <w:ilvl w:val="0"/>
          <w:numId w:val="1"/>
        </w:numPr>
      </w:pPr>
      <w:hyperlink r:id="rId119">
        <w:r>
          <w:rPr>
            <w:color w:val="1F4E79"/>
            <w:u w:val="single"/>
          </w:rPr>
          <w:t xml:space="preserve">Muluk</w:t>
        </w:r>
      </w:hyperlink>
    </w:p>
    <w:p>
      <w:pPr>
        <w:pStyle w:val="ListParagraph"/>
        <w:numPr>
          <w:ilvl w:val="0"/>
          <w:numId w:val="1"/>
        </w:numPr>
      </w:pPr>
      <w:hyperlink r:id="rId120">
        <w:r>
          <w:rPr>
            <w:color w:val="1F4E79"/>
            <w:u w:val="single"/>
          </w:rPr>
          <w:t xml:space="preserve">Ok</w:t>
        </w:r>
      </w:hyperlink>
    </w:p>
    <w:p>
      <w:pPr>
        <w:pStyle w:val="ListParagraph"/>
        <w:numPr>
          <w:ilvl w:val="0"/>
          <w:numId w:val="1"/>
        </w:numPr>
      </w:pPr>
      <w:hyperlink r:id="rId121">
        <w:r>
          <w:rPr>
            <w:color w:val="1F4E79"/>
            <w:u w:val="single"/>
          </w:rPr>
          <w:t xml:space="preserve">Etz'nab'</w:t>
        </w:r>
      </w:hyperlink>
    </w:p>
    <w:p>
      <w:pPr>
        <w:pStyle w:val="Heading2"/>
      </w:pPr>
      <w:hyperlink r:id="rId122">
        <w:r>
          <w:rPr>
            <w:color w:val="1F4E79"/>
            <w:u w:val="single"/>
          </w:rPr>
          <w:t xml:space="preserve">zodiac</w:t>
        </w:r>
      </w:hyperlink>
    </w:p>
    <w:p>
      <w:pPr>
        <w:pStyle w:val="ListParagraph"/>
        <w:numPr>
          <w:ilvl w:val="0"/>
          <w:numId w:val="1"/>
        </w:numPr>
      </w:pPr>
      <w:hyperlink r:id="rId123">
        <w:r>
          <w:rPr>
            <w:color w:val="1F4E79"/>
            <w:u w:val="single"/>
          </w:rPr>
          <w:t xml:space="preserve">zodiac</w:t>
        </w:r>
      </w:hyperlink>
    </w:p>
    <w:p>
      <w:pPr>
        <w:pStyle w:val="ListParagraph"/>
        <w:numPr>
          <w:ilvl w:val="0"/>
          <w:numId w:val="1"/>
        </w:numPr>
      </w:pPr>
      <w:hyperlink r:id="rId124">
        <w:r>
          <w:rPr>
            <w:color w:val="1F4E79"/>
            <w:u w:val="single"/>
          </w:rPr>
          <w:t xml:space="preserve">western</w:t>
        </w:r>
      </w:hyperlink>
    </w:p>
    <w:p>
      <w:pPr>
        <w:pStyle w:val="ListParagraph"/>
        <w:numPr>
          <w:ilvl w:val="0"/>
          <w:numId w:val="1"/>
        </w:numPr>
      </w:pPr>
      <w:hyperlink r:id="rId125">
        <w:r>
          <w:rPr>
            <w:color w:val="1F4E79"/>
            <w:u w:val="single"/>
          </w:rPr>
          <w:t xml:space="preserve">celtic</w:t>
        </w:r>
      </w:hyperlink>
    </w:p>
    <w:p>
      <w:pPr>
        <w:pStyle w:val="ListParagraph"/>
        <w:numPr>
          <w:ilvl w:val="0"/>
          <w:numId w:val="1"/>
        </w:numPr>
      </w:pPr>
      <w:hyperlink r:id="rId126">
        <w:r>
          <w:rPr>
            <w:color w:val="1F4E79"/>
            <w:u w:val="single"/>
          </w:rPr>
          <w:t xml:space="preserve">Capricorn</w:t>
        </w:r>
      </w:hyperlink>
    </w:p>
    <w:p>
      <w:pPr>
        <w:pStyle w:val="ListParagraph"/>
        <w:numPr>
          <w:ilvl w:val="0"/>
          <w:numId w:val="1"/>
        </w:numPr>
      </w:pPr>
      <w:hyperlink r:id="rId127">
        <w:r>
          <w:rPr>
            <w:color w:val="1F4E79"/>
            <w:u w:val="single"/>
          </w:rPr>
          <w:t xml:space="preserve">Otter (Medicine Wheel)</w:t>
        </w:r>
      </w:hyperlink>
    </w:p>
    <w:p>
      <w:pPr>
        <w:pStyle w:val="ListParagraph"/>
        <w:numPr>
          <w:ilvl w:val="0"/>
          <w:numId w:val="1"/>
        </w:numPr>
      </w:pPr>
      <w:hyperlink r:id="rId128">
        <w:r>
          <w:rPr>
            <w:color w:val="1F4E79"/>
            <w:u w:val="single"/>
          </w:rPr>
          <w:t xml:space="preserve">Sturgeon (Medicine Wheel)</w:t>
        </w:r>
      </w:hyperlink>
    </w:p>
    <w:p>
      <w:pPr>
        <w:pStyle w:val="Heading2"/>
      </w:pPr>
      <w:hyperlink r:id="rId129">
        <w:r>
          <w:rPr>
            <w:color w:val="1F4E79"/>
            <w:u w:val="single"/>
          </w:rPr>
          <w:t xml:space="preserve">culture</w:t>
        </w:r>
      </w:hyperlink>
    </w:p>
    <w:p>
      <w:pPr>
        <w:pStyle w:val="ListParagraph"/>
        <w:numPr>
          <w:ilvl w:val="0"/>
          <w:numId w:val="1"/>
        </w:numPr>
      </w:pPr>
      <w:hyperlink r:id="rId130">
        <w:r>
          <w:rPr>
            <w:color w:val="1F4E79"/>
            <w:u w:val="single"/>
          </w:rPr>
          <w:t xml:space="preserve">languages</w:t>
        </w:r>
      </w:hyperlink>
    </w:p>
    <w:p>
      <w:pPr>
        <w:pStyle w:val="ListParagraph"/>
        <w:numPr>
          <w:ilvl w:val="0"/>
          <w:numId w:val="1"/>
        </w:numPr>
      </w:pPr>
      <w:hyperlink r:id="rId131">
        <w:r>
          <w:rPr>
            <w:color w:val="1F4E79"/>
            <w:u w:val="single"/>
          </w:rPr>
          <w:t xml:space="preserve">culture</w:t>
        </w:r>
      </w:hyperlink>
    </w:p>
    <w:p>
      <w:pPr>
        <w:pStyle w:val="ListParagraph"/>
        <w:numPr>
          <w:ilvl w:val="0"/>
          <w:numId w:val="1"/>
        </w:numPr>
      </w:pPr>
      <w:hyperlink r:id="rId132">
        <w:r>
          <w:rPr>
            <w:color w:val="1F4E79"/>
            <w:u w:val="single"/>
          </w:rPr>
          <w:t xml:space="preserve">Arabic Speaking</w:t>
        </w:r>
      </w:hyperlink>
    </w:p>
    <w:p>
      <w:pPr>
        <w:pStyle w:val="ListParagraph"/>
        <w:numPr>
          <w:ilvl w:val="0"/>
          <w:numId w:val="1"/>
        </w:numPr>
      </w:pPr>
      <w:hyperlink r:id="rId133">
        <w:r>
          <w:rPr>
            <w:color w:val="1F4E79"/>
            <w:u w:val="single"/>
          </w:rPr>
          <w:t xml:space="preserve">English Speaking</w:t>
        </w:r>
      </w:hyperlink>
    </w:p>
    <w:p>
      <w:pPr>
        <w:pStyle w:val="ListParagraph"/>
        <w:numPr>
          <w:ilvl w:val="0"/>
          <w:numId w:val="1"/>
        </w:numPr>
      </w:pPr>
      <w:hyperlink r:id="rId134">
        <w:r>
          <w:rPr>
            <w:color w:val="1F4E79"/>
            <w:u w:val="single"/>
          </w:rPr>
          <w:t xml:space="preserve">Urdu</w:t>
        </w:r>
      </w:hyperlink>
    </w:p>
    <w:p>
      <w:pPr>
        <w:pStyle w:val="ListParagraph"/>
        <w:numPr>
          <w:ilvl w:val="0"/>
          <w:numId w:val="1"/>
        </w:numPr>
      </w:pPr>
      <w:hyperlink r:id="rId135">
        <w:r>
          <w:rPr>
            <w:color w:val="1F4E79"/>
            <w:u w:val="single"/>
          </w:rPr>
          <w:t xml:space="preserve">Willow (Celtic Tree Calendar)</w:t>
        </w:r>
      </w:hyperlink>
    </w:p>
    <w:p>
      <w:pPr>
        <w:pStyle w:val="Heading1"/>
      </w:pPr>
      <w:r>
        <w:t xml:space="preserve">Lamat</w:t>
      </w:r>
    </w:p>
    <w:p>
      <w:r>
        <w:rPr>
          <w:b/>
        </w:rPr>
        <w:t xml:space="preserve">Eighth of the twenty.</w:t>
      </w:r>
      <w:r>
        <w:t xml:space="preserve"> Yucatec </w:t>
      </w:r>
      <w:r>
        <w:rPr>
          <w:b/>
        </w:rPr>
        <w:t xml:space="preserve">Lamat</w:t>
      </w:r>
      <w:r>
        <w:t xml:space="preserve">; K'iche' </w:t>
      </w:r>
      <w:r>
        <w:rPr>
          <w:b/>
        </w:rPr>
        <w:t xml:space="preserve">Q'anil</w:t>
      </w:r>
      <w:r>
        <w:t xml:space="preserve">. The Classic main sign is a four-lobed star form — a quatrefoil with dots set into the quadrants — which is the same element used for </w:t>
      </w:r>
      <w:r>
        <w:rPr>
          <w:i/>
        </w:rPr>
        <w:t xml:space="preserve">ek'</w:t>
      </w:r>
      <w:r>
        <w:t xml:space="preserve">, star, and specifically for </w:t>
      </w:r>
      <w:r>
        <w:rPr>
          <w:b/>
        </w:rPr>
        <w:t xml:space="preserve">Venus</w:t>
      </w:r>
      <w:r>
        <w:t xml:space="preserve"> in the astronomical tables. That identification is one of the firmer ones in the day-sign inventory. The site's tooltip gives it as </w:t>
      </w:r>
      <w:r>
        <w:rPr>
          <w:b/>
        </w:rPr>
        <w:t xml:space="preserve">star, rabbit, and ripening Venus</w:t>
      </w:r>
      <w:r>
        <w:t xml:space="preserve">. Direction south, colour yellow.</w:t>
      </w:r>
    </w:p>
    <w:p>
      <w:r>
        <w:t xml:space="preserve">The rabbit comes in from the Aztec cognate </w:t>
      </w:r>
      <w:r>
        <w:rPr>
          <w:b/>
        </w:rPr>
        <w:t xml:space="preserve">Tochtli</w:t>
      </w:r>
      <w:r>
        <w:t xml:space="preserve">, rabbit, whose patron is Mayahuel, goddess of the maguey and of pulque. Rabbit, moon and Venus travel together across Mesoamerica — the rabbit is the shape people saw in the full moon, and it turns up in Maya painting sitting in the moon goddess's arms.</w:t>
      </w:r>
    </w:p>
    <w:p>
      <w:pPr>
        <w:pStyle w:val="Heading2"/>
      </w:pPr>
      <w:r>
        <w:t xml:space="preserve">Religion and daykeeping</w:t>
      </w:r>
    </w:p>
    <w:p>
      <w:r>
        <w:t xml:space="preserve">The highland name pulls in a third direction, and it is the one that matters for present practice. </w:t>
      </w:r>
      <w:r>
        <w:rPr>
          <w:b/>
        </w:rPr>
        <w:t xml:space="preserve">Q'anil</w:t>
      </w:r>
      <w:r>
        <w:t xml:space="preserve"> means </w:t>
      </w:r>
      <w:r>
        <w:rPr>
          <w:i/>
        </w:rPr>
        <w:t xml:space="preserve">ripe</w:t>
      </w:r>
      <w:r>
        <w:t xml:space="preserve"> and </w:t>
      </w:r>
      <w:r>
        <w:rPr>
          <w:i/>
        </w:rPr>
        <w:t xml:space="preserve">yellow</w:t>
      </w:r>
      <w:r>
        <w:t xml:space="preserve"> — the seed. In </w:t>
      </w:r>
      <w:r>
        <w:rPr>
          <w:b/>
        </w:rPr>
        <w:t xml:space="preserve">living highland practice</w:t>
      </w:r>
      <w:r>
        <w:t xml:space="preserve">, ethnographic accounts and Guatemalan Maya organisations describe Q'anil as the day of planting and of fertility: for the milpa, for seed set aside for sowing, for children and conception, and for the four colours of maize that stand for the four directions. It is widely spoken of as one of the most favourable days in the count. An </w:t>
      </w:r>
      <w:r>
        <w:rPr>
          <w:i/>
        </w:rPr>
        <w:t xml:space="preserve">ajq'ij</w:t>
      </w:r>
      <w:r>
        <w:t xml:space="preserve"> born on Q'anil is spoken of as fruitful in whatever they take up, and as needing something to grow or the energy sours. Petitions for a good harvest and for a child are among the most common made on it. Which altar, and in what words, is taught within the apprenticeship, not on a page.</w:t>
      </w:r>
    </w:p>
    <w:p>
      <w:r>
        <w:t xml:space="preserve">The star reading and the seed reading are not in conflict as the Maya sources use them. Venus is the star whose disappearance and reappearance is the visible model of something going under and coming back up — the same shape as a seed.</w:t>
      </w:r>
    </w:p>
    <w:p>
      <w:r>
        <w:t xml:space="preserve">In the </w:t>
      </w:r>
      <w:r>
        <w:rPr>
          <w:b/>
        </w:rPr>
        <w:t xml:space="preserve">Classic and Postclassic record</w:t>
      </w:r>
      <w:r>
        <w:t xml:space="preserve">, Venus is the most carefully tracked body after the Sun and Moon. The </w:t>
      </w:r>
      <w:r>
        <w:rPr>
          <w:b/>
        </w:rPr>
        <w:t xml:space="preserve">Dresden Codex</w:t>
      </w:r>
      <w:r>
        <w:t xml:space="preserve"> carries the Venus Table, a table of 65 Venus cycles running 37,960 days — which is exactly 146 Tzolk'ins and 104 Haabs, the arithmetic that lets the three counts be read off one page. Venus's heliacal rising was read as dangerous, its rays as spears aimed at named classes of victim. The </w:t>
      </w:r>
      <w:r>
        <w:rPr>
          <w:b/>
        </w:rPr>
        <w:t xml:space="preserve">Madrid Codex</w:t>
      </w:r>
      <w:r>
        <w:t xml:space="preserve">, dominated by working almanacs, threads the same 260-day structure through farming and hunting.</w:t>
      </w:r>
    </w:p>
    <w:p>
      <w:r>
        <w:t xml:space="preserve">The Zapotec </w:t>
      </w:r>
      <w:r>
        <w:rPr>
          <w:i/>
        </w:rPr>
        <w:t xml:space="preserve">piyè</w:t>
      </w:r>
      <w:r>
        <w:t xml:space="preserve"> and the Mixtec count share the twenty signs; Mixtec codices are conventionally glossed Rabbit at this position.</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600–500 BCE </w:t>
            </w:r>
            <w:r>
              <w:rPr>
                <w:i/>
              </w:rPr>
              <w:t xml:space="preserve">(contested)</w:t>
            </w:r>
          </w:p>
        </w:tc>
        <w:tc>
          <w:tcPr>
            <w:tcW w:w="2400" w:type="dxa"/>
          </w:tcPr>
          <w:p>
            <w:pPr>
              <w:pStyle w:val="TableText"/>
            </w:pPr>
            <w:r>
              <w:t xml:space="preserve">Earliest 260-day count glyphs, Oaxaca — San José Mogote and Monte Albán. Zapotec, not Maya.</w:t>
            </w:r>
          </w:p>
        </w:tc>
      </w:tr>
      <w:tr>
        <w:tc>
          <w:tcPr>
            <w:tcW w:w="2400" w:type="dxa"/>
          </w:tcPr>
          <w:p>
            <w:pPr>
              <w:pStyle w:val="TableText"/>
            </w:pPr>
            <w:r>
              <w:t xml:space="preserve">36 / 32 BCE</w:t>
            </w:r>
          </w:p>
        </w:tc>
        <w:tc>
          <w:tcPr>
            <w:tcW w:w="2400" w:type="dxa"/>
          </w:tcPr>
          <w:p>
            <w:pPr>
              <w:pStyle w:val="TableText"/>
            </w:pPr>
            <w:r>
              <w:t xml:space="preserve">Chiapa de Corzo Stela 2 and Tres Zapotes Stela C, the earliest dated Long Counts. Both partly reconstructed.</w:t>
            </w:r>
          </w:p>
        </w:tc>
      </w:tr>
      <w:tr>
        <w:tc>
          <w:tcPr>
            <w:tcW w:w="2400" w:type="dxa"/>
          </w:tcPr>
          <w:p>
            <w:pPr>
              <w:pStyle w:val="TableText"/>
            </w:pPr>
            <w:r>
              <w:t xml:space="preserve">c. 250–900 CE</w:t>
            </w:r>
          </w:p>
        </w:tc>
        <w:tc>
          <w:tcPr>
            <w:tcW w:w="2400" w:type="dxa"/>
          </w:tcPr>
          <w:p>
            <w:pPr>
              <w:pStyle w:val="TableText"/>
            </w:pPr>
            <w:r>
              <w:t xml:space="preserve">Classic period: day signs in cartouches; Venus warfare imagery on monuments at several sites.</w:t>
            </w:r>
          </w:p>
        </w:tc>
      </w:tr>
      <w:tr>
        <w:tc>
          <w:tcPr>
            <w:tcW w:w="2400" w:type="dxa"/>
          </w:tcPr>
          <w:p>
            <w:pPr>
              <w:pStyle w:val="TableText"/>
            </w:pPr>
            <w:r>
              <w:t xml:space="preserve">11th–12th c. CE </w:t>
            </w:r>
            <w:r>
              <w:rPr>
                <w:i/>
              </w:rPr>
              <w:t xml:space="preserve">(debated)</w:t>
            </w:r>
          </w:p>
        </w:tc>
        <w:tc>
          <w:tcPr>
            <w:tcW w:w="2400" w:type="dxa"/>
          </w:tcPr>
          <w:p>
            <w:pPr>
              <w:pStyle w:val="TableText"/>
            </w:pPr>
            <w:r>
              <w:t xml:space="preserve">The Dresden Codex copy, including the Venus Table — 65 Venus cycles, 146 Tzolk'ins, 104 Haabs.</w:t>
            </w:r>
          </w:p>
        </w:tc>
      </w:tr>
      <w:tr>
        <w:tc>
          <w:tcPr>
            <w:tcW w:w="2400" w:type="dxa"/>
          </w:tcPr>
          <w:p>
            <w:pPr>
              <w:pStyle w:val="TableText"/>
            </w:pPr>
            <w:r>
              <w:t xml:space="preserve">c. 1021–1154 CE</w:t>
            </w:r>
          </w:p>
        </w:tc>
        <w:tc>
          <w:tcPr>
            <w:tcW w:w="2400" w:type="dxa"/>
          </w:tcPr>
          <w:p>
            <w:pPr>
              <w:pStyle w:val="TableText"/>
            </w:pPr>
            <w:r>
              <w:t xml:space="preserve">Radiocarbon range for the Maya Codex of Mexico, also a Venus table; long disputed, now generally accepted.</w:t>
            </w:r>
          </w:p>
        </w:tc>
      </w:tr>
      <w:tr>
        <w:tc>
          <w:tcPr>
            <w:tcW w:w="2400" w:type="dxa"/>
          </w:tcPr>
          <w:p>
            <w:pPr>
              <w:pStyle w:val="TableText"/>
            </w:pPr>
            <w:r>
              <w:t xml:space="preserve">1562 / 1566</w:t>
            </w:r>
          </w:p>
        </w:tc>
        <w:tc>
          <w:tcPr>
            <w:tcW w:w="2400" w:type="dxa"/>
          </w:tcPr>
          <w:p>
            <w:pPr>
              <w:pStyle w:val="TableText"/>
            </w:pPr>
            <w:r>
              <w:t xml:space="preserve">Landa burns the books at Maní, then records the twenty day names in his </w:t>
            </w:r>
            <w:r>
              <w:rPr>
                <w:i/>
              </w:rPr>
              <w:t xml:space="preserve">Relación</w:t>
            </w:r>
            <w:r>
              <w:t xml:space="preserve">.</w:t>
            </w:r>
          </w:p>
        </w:tc>
      </w:tr>
      <w:tr>
        <w:tc>
          <w:tcPr>
            <w:tcW w:w="2400" w:type="dxa"/>
          </w:tcPr>
          <w:p>
            <w:pPr>
              <w:pStyle w:val="TableText"/>
            </w:pPr>
            <w:r>
              <w:t xml:space="preserve">1905–1935</w:t>
            </w:r>
          </w:p>
        </w:tc>
        <w:tc>
          <w:tcPr>
            <w:tcW w:w="2400" w:type="dxa"/>
          </w:tcPr>
          <w:p>
            <w:pPr>
              <w:pStyle w:val="TableText"/>
            </w:pPr>
            <w:r>
              <w:t xml:space="preserve">The Goodman–Martínez–Thompson correlation, constant 584283. Mainstream, not unanimous.</w:t>
            </w:r>
          </w:p>
        </w:tc>
      </w:tr>
      <w:tr>
        <w:tc>
          <w:tcPr>
            <w:tcW w:w="2400" w:type="dxa"/>
          </w:tcPr>
          <w:p>
            <w:pPr>
              <w:pStyle w:val="TableText"/>
            </w:pPr>
            <w:r>
              <w:t xml:space="preserve">11 Aug 3114 BCE</w:t>
            </w:r>
          </w:p>
        </w:tc>
        <w:tc>
          <w:tcPr>
            <w:tcW w:w="2400" w:type="dxa"/>
          </w:tcPr>
          <w:p>
            <w:pPr>
              <w:pStyle w:val="TableText"/>
            </w:pPr>
            <w:r>
              <w:t xml:space="preserve">Long Count zero under GMT 584283 (6 Sep 3114 BCE Julian); the 584285 variant gives 13 August.</w:t>
            </w:r>
          </w:p>
        </w:tc>
      </w:tr>
      <w:tr>
        <w:tc>
          <w:tcPr>
            <w:tcW w:w="2400" w:type="dxa"/>
          </w:tcPr>
          <w:p>
            <w:pPr>
              <w:pStyle w:val="TableText"/>
            </w:pPr>
            <w:r>
              <w:t xml:space="preserve">21 Dec 2012</w:t>
            </w:r>
          </w:p>
        </w:tc>
        <w:tc>
          <w:tcPr>
            <w:tcW w:w="2400" w:type="dxa"/>
          </w:tcPr>
          <w:p>
            <w:pPr>
              <w:pStyle w:val="TableText"/>
            </w:pPr>
            <w:r>
              <w:t xml:space="preserve">13.0.0.0.0, 4 Ajaw 3 K'ank'in — the anchor this site counts from.</w:t>
            </w:r>
          </w:p>
        </w:tc>
      </w:tr>
      <w:tr>
        <w:tc>
          <w:tcPr>
            <w:tcW w:w="2400" w:type="dxa"/>
          </w:tcPr>
          <w:p>
            <w:pPr>
              <w:pStyle w:val="TableText"/>
            </w:pPr>
            <w:r>
              <w:t xml:space="preserve">1995 / 1996</w:t>
            </w:r>
          </w:p>
        </w:tc>
        <w:tc>
          <w:tcPr>
            <w:tcW w:w="2400" w:type="dxa"/>
          </w:tcPr>
          <w:p>
            <w:pPr>
              <w:pStyle w:val="TableText"/>
            </w:pPr>
            <w:r>
              <w:t xml:space="preserve">Guatemala's Peace Accords recognise Maya spirituality and access to sacred places.</w:t>
            </w:r>
          </w:p>
        </w:tc>
      </w:tr>
    </w:tbl>
    <w:p/>
    <w:p>
      <w:pPr>
        <w:pStyle w:val="Heading2"/>
      </w:pPr>
      <w:r>
        <w:t xml:space="preserve">In the count</w:t>
      </w:r>
    </w:p>
    <w:p>
      <w:r>
        <w:t xml:space="preserve">Lamat returns </w:t>
      </w:r>
      <w:r>
        <w:rPr>
          <w:b/>
        </w:rPr>
        <w:t xml:space="preserve">every twenty days</w:t>
      </w:r>
      <w:r>
        <w:t xml:space="preserve">, with a coefficient seven higher each time — twenty modulo thirteen is seven — so the numbers run 7, 1, 8, 2, 9, 3, 10, 4, 11, 5, 12, 6, 13 and then repeat. Thirteen appearances, </w:t>
      </w:r>
      <w:r>
        <w:rPr>
          <w:b/>
        </w:rPr>
        <w:t xml:space="preserve">260 days</w:t>
      </w:r>
      <w:r>
        <w:t xml:space="preserve">.</w:t>
      </w:r>
    </w:p>
    <w:p>
      <w:r>
        <w:t xml:space="preserve">Upcoming in 2026, on the site's GMT anchor: </w:t>
      </w:r>
      <w:r>
        <w:rPr>
          <w:b/>
        </w:rPr>
        <w:t xml:space="preserve">18 August (13 Lamat)</w:t>
      </w:r>
      <w:r>
        <w:t xml:space="preserve">, </w:t>
      </w:r>
      <w:r>
        <w:rPr>
          <w:b/>
        </w:rPr>
        <w:t xml:space="preserve">7 September (7 Lamat)</w:t>
      </w:r>
      <w:r>
        <w:t xml:space="preserve">, </w:t>
      </w:r>
      <w:r>
        <w:rPr>
          <w:b/>
        </w:rPr>
        <w:t xml:space="preserve">27 September (1 Lamat)</w:t>
      </w:r>
      <w:r>
        <w:t xml:space="preserve">.</w:t>
      </w:r>
    </w:p>
    <w:p>
      <w:pPr>
        <w:pStyle w:val="Heading2"/>
      </w:pPr>
      <w:r>
        <w:t xml:space="preserve">Related</w:t>
      </w:r>
    </w:p>
    <w:p>
      <w:pPr>
        <w:pStyle w:val="ListParagraph"/>
        <w:numPr>
          <w:ilvl w:val="0"/>
          <w:numId w:val="1"/>
        </w:numPr>
      </w:pPr>
      <w:hyperlink r:id="rId136">
        <w:r>
          <w:rPr>
            <w:color w:val="1F4E79"/>
            <w:u w:val="single"/>
          </w:rPr>
          <w:t xml:space="preserve">Maya Tzolk'in</w:t>
        </w:r>
      </w:hyperlink>
      <w:r>
        <w:t xml:space="preserve"> — the system, the count, and what it is not.</w:t>
      </w:r>
    </w:p>
    <w:p>
      <w:pPr>
        <w:pStyle w:val="ListParagraph"/>
        <w:numPr>
          <w:ilvl w:val="0"/>
          <w:numId w:val="1"/>
        </w:numPr>
      </w:pPr>
      <w:hyperlink r:id="rId137">
        <w:r>
          <w:rPr>
            <w:color w:val="1F4E79"/>
            <w:u w:val="single"/>
          </w:rPr>
          <w:t xml:space="preserve">Manik'</w:t>
        </w:r>
      </w:hyperlink>
      <w:r>
        <w:t xml:space="preserve"> — the day before.</w:t>
      </w:r>
    </w:p>
    <w:p>
      <w:pPr>
        <w:pStyle w:val="ListParagraph"/>
        <w:numPr>
          <w:ilvl w:val="0"/>
          <w:numId w:val="1"/>
        </w:numPr>
      </w:pPr>
      <w:hyperlink r:id="rId138">
        <w:r>
          <w:rPr>
            <w:color w:val="1F4E79"/>
            <w:u w:val="single"/>
          </w:rPr>
          <w:t xml:space="preserve">Muluk</w:t>
        </w:r>
      </w:hyperlink>
      <w:r>
        <w:t xml:space="preserve"> — the day after.</w:t>
      </w:r>
    </w:p>
    <w:p>
      <w:pPr>
        <w:pStyle w:val="ListParagraph"/>
        <w:numPr>
          <w:ilvl w:val="0"/>
          <w:numId w:val="1"/>
        </w:numPr>
      </w:pPr>
      <w:hyperlink r:id="rId139">
        <w:r>
          <w:rPr>
            <w:color w:val="1F4E79"/>
            <w:u w:val="single"/>
          </w:rPr>
          <w:t xml:space="preserve">World Zodiacs</w:t>
        </w:r>
      </w:hyperlink>
      <w:r>
        <w:t xml:space="preserve"> · </w:t>
      </w:r>
      <w:hyperlink r:id="rId140">
        <w:r>
          <w:rPr>
            <w:color w:val="1F4E79"/>
            <w:u w:val="single"/>
          </w:rPr>
          <w:t xml:space="preserve">Religion</w:t>
        </w:r>
      </w:hyperlink>
      <w:r>
        <w:t xml:space="preserve"> · </w:t>
      </w:r>
      <w:hyperlink r:id="rId141">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maya/lamat" TargetMode="External"/><Relationship Id="rId101" Type="http://schemas.openxmlformats.org/officeDocument/2006/relationships/hyperlink" Target="https://www.agoramores.com/tags/mesoamerica" TargetMode="External"/><Relationship Id="rId102" Type="http://schemas.openxmlformats.org/officeDocument/2006/relationships/hyperlink" Target="https://www.agoramores.com/culture/zodiac/maya" TargetMode="External"/><Relationship Id="rId103" Type="http://schemas.openxmlformats.org/officeDocument/2006/relationships/hyperlink" Target="https://www.agoramores.com/culture/zodiac/maya/ajaw" TargetMode="External"/><Relationship Id="rId104" Type="http://schemas.openxmlformats.org/officeDocument/2006/relationships/hyperlink" Target="https://www.agoramores.com/culture/zodiac/maya/akbal" TargetMode="External"/><Relationship Id="rId105" Type="http://schemas.openxmlformats.org/officeDocument/2006/relationships/hyperlink" Target="https://www.agoramores.com/culture/zodiac/maya/ben" TargetMode="External"/><Relationship Id="rId106" Type="http://schemas.openxmlformats.org/officeDocument/2006/relationships/hyperlink" Target="https://www.agoramores.com/culture/zodiac/maya/chikchan" TargetMode="External"/><Relationship Id="rId107" Type="http://schemas.openxmlformats.org/officeDocument/2006/relationships/hyperlink" Target="https://www.agoramores.com/culture/zodiac/maya/chuwen" TargetMode="External"/><Relationship Id="rId108" Type="http://schemas.openxmlformats.org/officeDocument/2006/relationships/hyperlink" Target="https://www.agoramores.com/tags/maya" TargetMode="External"/><Relationship Id="rId109" Type="http://schemas.openxmlformats.org/officeDocument/2006/relationships/hyperlink" Target="https://www.agoramores.com/culture/zodiac/maya/eb" TargetMode="External"/><Relationship Id="rId110" Type="http://schemas.openxmlformats.org/officeDocument/2006/relationships/hyperlink" Target="https://www.agoramores.com/culture/zodiac/maya/ik" TargetMode="External"/><Relationship Id="rId111" Type="http://schemas.openxmlformats.org/officeDocument/2006/relationships/hyperlink" Target="https://www.agoramores.com/culture/zodiac/maya/imix" TargetMode="External"/><Relationship Id="rId112" Type="http://schemas.openxmlformats.org/officeDocument/2006/relationships/hyperlink" Target="https://www.agoramores.com/culture/zodiac/maya/ix" TargetMode="External"/><Relationship Id="rId113" Type="http://schemas.openxmlformats.org/officeDocument/2006/relationships/hyperlink" Target="https://www.agoramores.com/culture/zodiac/maya/kan" TargetMode="External"/><Relationship Id="rId114" Type="http://schemas.openxmlformats.org/officeDocument/2006/relationships/hyperlink" Target="https://www.agoramores.com/culture/zodiac/maya/kib" TargetMode="External"/><Relationship Id="rId115" Type="http://schemas.openxmlformats.org/officeDocument/2006/relationships/hyperlink" Target="https://www.agoramores.com/tags/tzolkin" TargetMode="External"/><Relationship Id="rId116" Type="http://schemas.openxmlformats.org/officeDocument/2006/relationships/hyperlink" Target="https://www.agoramores.com/culture/zodiac/maya/kaban" TargetMode="External"/><Relationship Id="rId117" Type="http://schemas.openxmlformats.org/officeDocument/2006/relationships/hyperlink" Target="https://www.agoramores.com/culture/zodiac/maya/kawak" TargetMode="External"/><Relationship Id="rId118" Type="http://schemas.openxmlformats.org/officeDocument/2006/relationships/hyperlink" Target="https://www.agoramores.com/culture/zodiac/maya/manik" TargetMode="External"/><Relationship Id="rId119" Type="http://schemas.openxmlformats.org/officeDocument/2006/relationships/hyperlink" Target="https://www.agoramores.com/culture/zodiac/maya/muluk" TargetMode="External"/><Relationship Id="rId120" Type="http://schemas.openxmlformats.org/officeDocument/2006/relationships/hyperlink" Target="https://www.agoramores.com/culture/zodiac/maya/ok" TargetMode="External"/><Relationship Id="rId121" Type="http://schemas.openxmlformats.org/officeDocument/2006/relationships/hyperlink" Target="https://www.agoramores.com/culture/zodiac/maya/etznab" TargetMode="External"/><Relationship Id="rId122" Type="http://schemas.openxmlformats.org/officeDocument/2006/relationships/hyperlink" Target="https://www.agoramores.com/tags/zodiac" TargetMode="External"/><Relationship Id="rId123" Type="http://schemas.openxmlformats.org/officeDocument/2006/relationships/hyperlink" Target="https://www.agoramores.com/culture/zodiac" TargetMode="External"/><Relationship Id="rId124" Type="http://schemas.openxmlformats.org/officeDocument/2006/relationships/hyperlink" Target="https://www.agoramores.com/culture/zodiac/western" TargetMode="External"/><Relationship Id="rId125" Type="http://schemas.openxmlformats.org/officeDocument/2006/relationships/hyperlink" Target="https://www.agoramores.com/culture/zodiac/celtic" TargetMode="External"/><Relationship Id="rId126" Type="http://schemas.openxmlformats.org/officeDocument/2006/relationships/hyperlink" Target="https://www.agoramores.com/culture/zodiac/western/capricorn" TargetMode="External"/><Relationship Id="rId127" Type="http://schemas.openxmlformats.org/officeDocument/2006/relationships/hyperlink" Target="https://www.agoramores.com/culture/zodiac/medicine-wheel/otter-medicine-wheel" TargetMode="External"/><Relationship Id="rId128" Type="http://schemas.openxmlformats.org/officeDocument/2006/relationships/hyperlink" Target="https://www.agoramores.com/culture/zodiac/medicine-wheel/sturgeon-medicine-wheel" TargetMode="External"/><Relationship Id="rId129" Type="http://schemas.openxmlformats.org/officeDocument/2006/relationships/hyperlink" Target="https://www.agoramores.com/tags/culture" TargetMode="External"/><Relationship Id="rId130" Type="http://schemas.openxmlformats.org/officeDocument/2006/relationships/hyperlink" Target="https://www.agoramores.com/culture/languages" TargetMode="External"/><Relationship Id="rId131" Type="http://schemas.openxmlformats.org/officeDocument/2006/relationships/hyperlink" Target="https://www.agoramores.com/culture" TargetMode="External"/><Relationship Id="rId132" Type="http://schemas.openxmlformats.org/officeDocument/2006/relationships/hyperlink" Target="https://www.agoramores.com/culture/diaspora/arabic-speaking" TargetMode="External"/><Relationship Id="rId133" Type="http://schemas.openxmlformats.org/officeDocument/2006/relationships/hyperlink" Target="https://www.agoramores.com/culture/diaspora/english-speaking" TargetMode="External"/><Relationship Id="rId134" Type="http://schemas.openxmlformats.org/officeDocument/2006/relationships/hyperlink" Target="https://www.agoramores.com/culture/languages/urdu" TargetMode="External"/><Relationship Id="rId135" Type="http://schemas.openxmlformats.org/officeDocument/2006/relationships/hyperlink" Target="https://www.agoramores.com/culture/zodiac/celtic/willow-celtic-tree-calendar" TargetMode="External"/><Relationship Id="rId136" Type="http://schemas.openxmlformats.org/officeDocument/2006/relationships/hyperlink" Target="https://www.agoramores.com/culture/zodiac/maya/portal" TargetMode="External"/><Relationship Id="rId137" Type="http://schemas.openxmlformats.org/officeDocument/2006/relationships/hyperlink" Target="https://www.agoramores.com/culture/zodiac/maya/manik" TargetMode="External"/><Relationship Id="rId138" Type="http://schemas.openxmlformats.org/officeDocument/2006/relationships/hyperlink" Target="https://www.agoramores.com/culture/zodiac/maya/muluk" TargetMode="External"/><Relationship Id="rId139" Type="http://schemas.openxmlformats.org/officeDocument/2006/relationships/hyperlink" Target="https://www.agoramores.com/culture/zodiac/portal" TargetMode="External"/><Relationship Id="rId140" Type="http://schemas.openxmlformats.org/officeDocument/2006/relationships/hyperlink" Target="https://www.agoramores.com/religion/portal" TargetMode="External"/><Relationship Id="rId141"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Lamat</dc:title>
  <dc:creator>Agoramores</dc:creator>
  <cp:keywords>culture, zodiac, tzolkin, maya, mesoamerica</cp:keywords>
  <dcterms:created xsi:type="dcterms:W3CDTF">2026-08-21T06:58:37Z</dcterms:created>
</cp:coreProperties>
</file>