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K'an</w:t>
      </w:r>
    </w:p>
    <w:p>
      <w:pPr>
        <w:pStyle w:val="Subtitle"/>
      </w:pPr>
      <w:hyperlink r:id="rId100">
        <w:r>
          <w:rPr>
            <w:color w:val="1F4E79"/>
            <w:u w:val="single"/>
          </w:rPr>
          <w:t xml:space="preserve">https://www.agoramores.com/culture/zodiac/maya/kan</w:t>
        </w:r>
      </w:hyperlink>
    </w:p>
    <w:p>
      <w:pPr>
        <w:pStyle w:val="Subtitle"/>
      </w:pPr>
      <w:r>
        <w:t xml:space="preserve">Tags: culture · zodiac · tzolkin · maya · mesoamerica</w:t>
      </w:r>
    </w:p>
    <w:p>
      <w:pPr>
        <w:pBdr>
          <w:bottom w:val="single" w:sz="6" w:space="1" w:color="808080"/>
        </w:pBdr>
      </w:pPr>
    </w:p>
    <w:p>
      <w:pPr>
        <w:pStyle w:val="Heading1"/>
      </w:pPr>
      <w:r>
        <w:t xml:space="preserve">Related</w:t>
      </w:r>
    </w:p>
    <w:p>
      <w:pPr>
        <w:pStyle w:val="Heading2"/>
      </w:pPr>
      <w:hyperlink r:id="rId101">
        <w:r>
          <w:rPr>
            <w:color w:val="1F4E79"/>
            <w:u w:val="single"/>
          </w:rPr>
          <w:t xml:space="preserve">mesoamerica</w:t>
        </w:r>
      </w:hyperlink>
    </w:p>
    <w:p>
      <w:pPr>
        <w:pStyle w:val="ListParagraph"/>
        <w:numPr>
          <w:ilvl w:val="0"/>
          <w:numId w:val="1"/>
        </w:numPr>
      </w:pPr>
      <w:hyperlink r:id="rId102">
        <w:r>
          <w:rPr>
            <w:color w:val="1F4E79"/>
            <w:u w:val="single"/>
          </w:rPr>
          <w:t xml:space="preserve">Ajaw</w:t>
        </w:r>
      </w:hyperlink>
    </w:p>
    <w:p>
      <w:pPr>
        <w:pStyle w:val="ListParagraph"/>
        <w:numPr>
          <w:ilvl w:val="0"/>
          <w:numId w:val="1"/>
        </w:numPr>
      </w:pPr>
      <w:hyperlink r:id="rId103">
        <w:r>
          <w:rPr>
            <w:color w:val="1F4E79"/>
            <w:u w:val="single"/>
          </w:rPr>
          <w:t xml:space="preserve">Chikchan</w:t>
        </w:r>
      </w:hyperlink>
    </w:p>
    <w:p>
      <w:pPr>
        <w:pStyle w:val="ListParagraph"/>
        <w:numPr>
          <w:ilvl w:val="0"/>
          <w:numId w:val="1"/>
        </w:numPr>
      </w:pPr>
      <w:hyperlink r:id="rId104">
        <w:r>
          <w:rPr>
            <w:color w:val="1F4E79"/>
            <w:u w:val="single"/>
          </w:rPr>
          <w:t xml:space="preserve">maya</w:t>
        </w:r>
      </w:hyperlink>
    </w:p>
    <w:p>
      <w:pPr>
        <w:pStyle w:val="ListParagraph"/>
        <w:numPr>
          <w:ilvl w:val="0"/>
          <w:numId w:val="1"/>
        </w:numPr>
      </w:pPr>
      <w:hyperlink r:id="rId105">
        <w:r>
          <w:rPr>
            <w:color w:val="1F4E79"/>
            <w:u w:val="single"/>
          </w:rPr>
          <w:t xml:space="preserve">Ak'b'al</w:t>
        </w:r>
      </w:hyperlink>
    </w:p>
    <w:p>
      <w:pPr>
        <w:pStyle w:val="ListParagraph"/>
        <w:numPr>
          <w:ilvl w:val="0"/>
          <w:numId w:val="1"/>
        </w:numPr>
      </w:pPr>
      <w:hyperlink r:id="rId106">
        <w:r>
          <w:rPr>
            <w:color w:val="1F4E79"/>
            <w:u w:val="single"/>
          </w:rPr>
          <w:t xml:space="preserve">B'en</w:t>
        </w:r>
      </w:hyperlink>
    </w:p>
    <w:p>
      <w:pPr>
        <w:pStyle w:val="ListParagraph"/>
        <w:numPr>
          <w:ilvl w:val="0"/>
          <w:numId w:val="1"/>
        </w:numPr>
      </w:pPr>
      <w:hyperlink r:id="rId107">
        <w:r>
          <w:rPr>
            <w:color w:val="1F4E79"/>
            <w:u w:val="single"/>
          </w:rPr>
          <w:t xml:space="preserve">Chuwen</w:t>
        </w:r>
      </w:hyperlink>
    </w:p>
    <w:p>
      <w:pPr>
        <w:pStyle w:val="Heading2"/>
      </w:pPr>
      <w:hyperlink r:id="rId108">
        <w:r>
          <w:rPr>
            <w:color w:val="1F4E79"/>
            <w:u w:val="single"/>
          </w:rPr>
          <w:t xml:space="preserve">maya</w:t>
        </w:r>
      </w:hyperlink>
    </w:p>
    <w:p>
      <w:pPr>
        <w:pStyle w:val="ListParagraph"/>
        <w:numPr>
          <w:ilvl w:val="0"/>
          <w:numId w:val="1"/>
        </w:numPr>
      </w:pPr>
      <w:hyperlink r:id="rId109">
        <w:r>
          <w:rPr>
            <w:color w:val="1F4E79"/>
            <w:u w:val="single"/>
          </w:rPr>
          <w:t xml:space="preserve">Eb'</w:t>
        </w:r>
      </w:hyperlink>
    </w:p>
    <w:p>
      <w:pPr>
        <w:pStyle w:val="ListParagraph"/>
        <w:numPr>
          <w:ilvl w:val="0"/>
          <w:numId w:val="1"/>
        </w:numPr>
      </w:pPr>
      <w:hyperlink r:id="rId110">
        <w:r>
          <w:rPr>
            <w:color w:val="1F4E79"/>
            <w:u w:val="single"/>
          </w:rPr>
          <w:t xml:space="preserve">Ik'</w:t>
        </w:r>
      </w:hyperlink>
    </w:p>
    <w:p>
      <w:pPr>
        <w:pStyle w:val="ListParagraph"/>
        <w:numPr>
          <w:ilvl w:val="0"/>
          <w:numId w:val="1"/>
        </w:numPr>
      </w:pPr>
      <w:hyperlink r:id="rId111">
        <w:r>
          <w:rPr>
            <w:color w:val="1F4E79"/>
            <w:u w:val="single"/>
          </w:rPr>
          <w:t xml:space="preserve">Imix</w:t>
        </w:r>
      </w:hyperlink>
    </w:p>
    <w:p>
      <w:pPr>
        <w:pStyle w:val="ListParagraph"/>
        <w:numPr>
          <w:ilvl w:val="0"/>
          <w:numId w:val="1"/>
        </w:numPr>
      </w:pPr>
      <w:hyperlink r:id="rId112">
        <w:r>
          <w:rPr>
            <w:color w:val="1F4E79"/>
            <w:u w:val="single"/>
          </w:rPr>
          <w:t xml:space="preserve">Ix</w:t>
        </w:r>
      </w:hyperlink>
    </w:p>
    <w:p>
      <w:pPr>
        <w:pStyle w:val="ListParagraph"/>
        <w:numPr>
          <w:ilvl w:val="0"/>
          <w:numId w:val="1"/>
        </w:numPr>
      </w:pPr>
      <w:hyperlink r:id="rId113">
        <w:r>
          <w:rPr>
            <w:color w:val="1F4E79"/>
            <w:u w:val="single"/>
          </w:rPr>
          <w:t xml:space="preserve">K'ib'</w:t>
        </w:r>
      </w:hyperlink>
    </w:p>
    <w:p>
      <w:pPr>
        <w:pStyle w:val="ListParagraph"/>
        <w:numPr>
          <w:ilvl w:val="0"/>
          <w:numId w:val="1"/>
        </w:numPr>
      </w:pPr>
      <w:hyperlink r:id="rId114">
        <w:r>
          <w:rPr>
            <w:color w:val="1F4E79"/>
            <w:u w:val="single"/>
          </w:rPr>
          <w:t xml:space="preserve">Kab'an</w:t>
        </w:r>
      </w:hyperlink>
    </w:p>
    <w:p>
      <w:pPr>
        <w:pStyle w:val="Heading2"/>
      </w:pPr>
      <w:hyperlink r:id="rId115">
        <w:r>
          <w:rPr>
            <w:color w:val="1F4E79"/>
            <w:u w:val="single"/>
          </w:rPr>
          <w:t xml:space="preserve">tzolkin</w:t>
        </w:r>
      </w:hyperlink>
    </w:p>
    <w:p>
      <w:pPr>
        <w:pStyle w:val="ListParagraph"/>
        <w:numPr>
          <w:ilvl w:val="0"/>
          <w:numId w:val="1"/>
        </w:numPr>
      </w:pPr>
      <w:hyperlink r:id="rId116">
        <w:r>
          <w:rPr>
            <w:color w:val="1F4E79"/>
            <w:u w:val="single"/>
          </w:rPr>
          <w:t xml:space="preserve">Kawak</w:t>
        </w:r>
      </w:hyperlink>
    </w:p>
    <w:p>
      <w:pPr>
        <w:pStyle w:val="ListParagraph"/>
        <w:numPr>
          <w:ilvl w:val="0"/>
          <w:numId w:val="1"/>
        </w:numPr>
      </w:pPr>
      <w:hyperlink r:id="rId117">
        <w:r>
          <w:rPr>
            <w:color w:val="1F4E79"/>
            <w:u w:val="single"/>
          </w:rPr>
          <w:t xml:space="preserve">Lamat</w:t>
        </w:r>
      </w:hyperlink>
    </w:p>
    <w:p>
      <w:pPr>
        <w:pStyle w:val="ListParagraph"/>
        <w:numPr>
          <w:ilvl w:val="0"/>
          <w:numId w:val="1"/>
        </w:numPr>
      </w:pPr>
      <w:hyperlink r:id="rId118">
        <w:r>
          <w:rPr>
            <w:color w:val="1F4E79"/>
            <w:u w:val="single"/>
          </w:rPr>
          <w:t xml:space="preserve">Manik'</w:t>
        </w:r>
      </w:hyperlink>
    </w:p>
    <w:p>
      <w:pPr>
        <w:pStyle w:val="ListParagraph"/>
        <w:numPr>
          <w:ilvl w:val="0"/>
          <w:numId w:val="1"/>
        </w:numPr>
      </w:pPr>
      <w:hyperlink r:id="rId119">
        <w:r>
          <w:rPr>
            <w:color w:val="1F4E79"/>
            <w:u w:val="single"/>
          </w:rPr>
          <w:t xml:space="preserve">Muluk</w:t>
        </w:r>
      </w:hyperlink>
    </w:p>
    <w:p>
      <w:pPr>
        <w:pStyle w:val="ListParagraph"/>
        <w:numPr>
          <w:ilvl w:val="0"/>
          <w:numId w:val="1"/>
        </w:numPr>
      </w:pPr>
      <w:hyperlink r:id="rId120">
        <w:r>
          <w:rPr>
            <w:color w:val="1F4E79"/>
            <w:u w:val="single"/>
          </w:rPr>
          <w:t xml:space="preserve">Ok</w:t>
        </w:r>
      </w:hyperlink>
    </w:p>
    <w:p>
      <w:pPr>
        <w:pStyle w:val="ListParagraph"/>
        <w:numPr>
          <w:ilvl w:val="0"/>
          <w:numId w:val="1"/>
        </w:numPr>
      </w:pPr>
      <w:hyperlink r:id="rId121">
        <w:r>
          <w:rPr>
            <w:color w:val="1F4E79"/>
            <w:u w:val="single"/>
          </w:rPr>
          <w:t xml:space="preserve">Etz'nab'</w:t>
        </w:r>
      </w:hyperlink>
    </w:p>
    <w:p>
      <w:pPr>
        <w:pStyle w:val="Heading2"/>
      </w:pPr>
      <w:hyperlink r:id="rId122">
        <w:r>
          <w:rPr>
            <w:color w:val="1F4E79"/>
            <w:u w:val="single"/>
          </w:rPr>
          <w:t xml:space="preserve">zodiac</w:t>
        </w:r>
      </w:hyperlink>
    </w:p>
    <w:p>
      <w:pPr>
        <w:pStyle w:val="ListParagraph"/>
        <w:numPr>
          <w:ilvl w:val="0"/>
          <w:numId w:val="1"/>
        </w:numPr>
      </w:pPr>
      <w:hyperlink r:id="rId123">
        <w:r>
          <w:rPr>
            <w:color w:val="1F4E79"/>
            <w:u w:val="single"/>
          </w:rPr>
          <w:t xml:space="preserve">zodiac</w:t>
        </w:r>
      </w:hyperlink>
    </w:p>
    <w:p>
      <w:pPr>
        <w:pStyle w:val="ListParagraph"/>
        <w:numPr>
          <w:ilvl w:val="0"/>
          <w:numId w:val="1"/>
        </w:numPr>
      </w:pPr>
      <w:hyperlink r:id="rId124">
        <w:r>
          <w:rPr>
            <w:color w:val="1F4E79"/>
            <w:u w:val="single"/>
          </w:rPr>
          <w:t xml:space="preserve">Rowan (Celtic Tree Calendar)</w:t>
        </w:r>
      </w:hyperlink>
    </w:p>
    <w:p>
      <w:pPr>
        <w:pStyle w:val="ListParagraph"/>
        <w:numPr>
          <w:ilvl w:val="0"/>
          <w:numId w:val="1"/>
        </w:numPr>
      </w:pPr>
      <w:hyperlink r:id="rId125">
        <w:r>
          <w:rPr>
            <w:color w:val="1F4E79"/>
            <w:u w:val="single"/>
          </w:rPr>
          <w:t xml:space="preserve">western</w:t>
        </w:r>
      </w:hyperlink>
    </w:p>
    <w:p>
      <w:pPr>
        <w:pStyle w:val="ListParagraph"/>
        <w:numPr>
          <w:ilvl w:val="0"/>
          <w:numId w:val="1"/>
        </w:numPr>
      </w:pPr>
      <w:hyperlink r:id="rId126">
        <w:r>
          <w:rPr>
            <w:color w:val="1F4E79"/>
            <w:u w:val="single"/>
          </w:rPr>
          <w:t xml:space="preserve">celtic</w:t>
        </w:r>
      </w:hyperlink>
    </w:p>
    <w:p>
      <w:pPr>
        <w:pStyle w:val="ListParagraph"/>
        <w:numPr>
          <w:ilvl w:val="0"/>
          <w:numId w:val="1"/>
        </w:numPr>
      </w:pPr>
      <w:hyperlink r:id="rId127">
        <w:r>
          <w:rPr>
            <w:color w:val="1F4E79"/>
            <w:u w:val="single"/>
          </w:rPr>
          <w:t xml:space="preserve">Isis</w:t>
        </w:r>
      </w:hyperlink>
    </w:p>
    <w:p>
      <w:pPr>
        <w:pStyle w:val="ListParagraph"/>
        <w:numPr>
          <w:ilvl w:val="0"/>
          <w:numId w:val="1"/>
        </w:numPr>
      </w:pPr>
      <w:hyperlink r:id="rId128">
        <w:r>
          <w:rPr>
            <w:color w:val="1F4E79"/>
            <w:u w:val="single"/>
          </w:rPr>
          <w:t xml:space="preserve">Ash (Celtic Tree Calendar)</w:t>
        </w:r>
      </w:hyperlink>
    </w:p>
    <w:p>
      <w:pPr>
        <w:pStyle w:val="Heading2"/>
      </w:pPr>
      <w:hyperlink r:id="rId129">
        <w:r>
          <w:rPr>
            <w:color w:val="1F4E79"/>
            <w:u w:val="single"/>
          </w:rPr>
          <w:t xml:space="preserve">culture</w:t>
        </w:r>
      </w:hyperlink>
    </w:p>
    <w:p>
      <w:pPr>
        <w:pStyle w:val="ListParagraph"/>
        <w:numPr>
          <w:ilvl w:val="0"/>
          <w:numId w:val="1"/>
        </w:numPr>
      </w:pPr>
      <w:hyperlink r:id="rId130">
        <w:r>
          <w:rPr>
            <w:color w:val="1F4E79"/>
            <w:u w:val="single"/>
          </w:rPr>
          <w:t xml:space="preserve">culture</w:t>
        </w:r>
      </w:hyperlink>
    </w:p>
    <w:p>
      <w:pPr>
        <w:pStyle w:val="ListParagraph"/>
        <w:numPr>
          <w:ilvl w:val="0"/>
          <w:numId w:val="1"/>
        </w:numPr>
      </w:pPr>
      <w:hyperlink r:id="rId131">
        <w:r>
          <w:rPr>
            <w:color w:val="1F4E79"/>
            <w:u w:val="single"/>
          </w:rPr>
          <w:t xml:space="preserve">French</w:t>
        </w:r>
      </w:hyperlink>
    </w:p>
    <w:p>
      <w:pPr>
        <w:pStyle w:val="ListParagraph"/>
        <w:numPr>
          <w:ilvl w:val="0"/>
          <w:numId w:val="1"/>
        </w:numPr>
      </w:pPr>
      <w:hyperlink r:id="rId132">
        <w:r>
          <w:rPr>
            <w:color w:val="1F4E79"/>
            <w:u w:val="single"/>
          </w:rPr>
          <w:t xml:space="preserve">refugees</w:t>
        </w:r>
      </w:hyperlink>
    </w:p>
    <w:p>
      <w:pPr>
        <w:pStyle w:val="ListParagraph"/>
        <w:numPr>
          <w:ilvl w:val="0"/>
          <w:numId w:val="1"/>
        </w:numPr>
      </w:pPr>
      <w:hyperlink r:id="rId133">
        <w:r>
          <w:rPr>
            <w:color w:val="1F4E79"/>
            <w:u w:val="single"/>
          </w:rPr>
          <w:t xml:space="preserve">languages</w:t>
        </w:r>
      </w:hyperlink>
    </w:p>
    <w:p>
      <w:pPr>
        <w:pStyle w:val="ListParagraph"/>
        <w:numPr>
          <w:ilvl w:val="0"/>
          <w:numId w:val="1"/>
        </w:numPr>
      </w:pPr>
      <w:hyperlink r:id="rId134">
        <w:r>
          <w:rPr>
            <w:color w:val="1F4E79"/>
            <w:u w:val="single"/>
          </w:rPr>
          <w:t xml:space="preserve">Francophone</w:t>
        </w:r>
      </w:hyperlink>
    </w:p>
    <w:p>
      <w:pPr>
        <w:pStyle w:val="ListParagraph"/>
        <w:numPr>
          <w:ilvl w:val="0"/>
          <w:numId w:val="1"/>
        </w:numPr>
      </w:pPr>
      <w:hyperlink r:id="rId135">
        <w:r>
          <w:rPr>
            <w:color w:val="1F4E79"/>
            <w:u w:val="single"/>
          </w:rPr>
          <w:t xml:space="preserve">Arabic</w:t>
        </w:r>
      </w:hyperlink>
    </w:p>
    <w:p>
      <w:pPr>
        <w:pStyle w:val="Heading1"/>
      </w:pPr>
      <w:r>
        <w:t xml:space="preserve">K'an</w:t>
      </w:r>
    </w:p>
    <w:p>
      <w:r>
        <w:rPr>
          <w:b/>
        </w:rPr>
        <w:t xml:space="preserve">Fourth of the twenty.</w:t>
      </w:r>
      <w:r>
        <w:t xml:space="preserve"> Yucatec </w:t>
      </w:r>
      <w:r>
        <w:rPr>
          <w:b/>
        </w:rPr>
        <w:t xml:space="preserve">K'an</w:t>
      </w:r>
      <w:r>
        <w:t xml:space="preserve">; K'iche' </w:t>
      </w:r>
      <w:r>
        <w:rPr>
          <w:b/>
        </w:rPr>
        <w:t xml:space="preserve">K'at</w:t>
      </w:r>
      <w:r>
        <w:t xml:space="preserve">. The Classic main sign is a squared element with a lattice or cross-hatched interior; the word </w:t>
      </w:r>
      <w:r>
        <w:rPr>
          <w:i/>
        </w:rPr>
        <w:t xml:space="preserve">k'an</w:t>
      </w:r>
      <w:r>
        <w:t xml:space="preserve"> in Yucatec covers </w:t>
      </w:r>
      <w:r>
        <w:rPr>
          <w:i/>
        </w:rPr>
        <w:t xml:space="preserve">yellow</w:t>
      </w:r>
      <w:r>
        <w:t xml:space="preserve">, </w:t>
      </w:r>
      <w:r>
        <w:rPr>
          <w:i/>
        </w:rPr>
        <w:t xml:space="preserve">ripe</w:t>
      </w:r>
      <w:r>
        <w:t xml:space="preserve"> and </w:t>
      </w:r>
      <w:r>
        <w:rPr>
          <w:i/>
        </w:rPr>
        <w:t xml:space="preserve">precious</w:t>
      </w:r>
      <w:r>
        <w:t xml:space="preserve">, and the sign shades into the maize and foodstuff complex — though the exact relation between the day sign and the tamale sign used for offerings is one of the places epigraphers still argue, and it should not be stated flatly. The site's tooltip gives it as </w:t>
      </w:r>
      <w:r>
        <w:rPr>
          <w:b/>
        </w:rPr>
        <w:t xml:space="preserve">ripe seed and abundance</w:t>
      </w:r>
      <w:r>
        <w:t xml:space="preserve">. Direction south, colour yellow.</w:t>
      </w:r>
    </w:p>
    <w:p>
      <w:r>
        <w:t xml:space="preserve">The two Maya names pull apart here more than anywhere else in the twenty. Yucatec </w:t>
      </w:r>
      <w:r>
        <w:rPr>
          <w:i/>
        </w:rPr>
        <w:t xml:space="preserve">k'an</w:t>
      </w:r>
      <w:r>
        <w:t xml:space="preserve"> is ripeness and yellow. K'iche' </w:t>
      </w:r>
      <w:r>
        <w:rPr>
          <w:i/>
        </w:rPr>
        <w:t xml:space="preserve">k'at</w:t>
      </w:r>
      <w:r>
        <w:t xml:space="preserve"> is the </w:t>
      </w:r>
      <w:r>
        <w:rPr>
          <w:b/>
        </w:rPr>
        <w:t xml:space="preserve">net</w:t>
      </w:r>
      <w:r>
        <w:t xml:space="preserve"> — the carrying net that holds a maize harvest, and equally the tangle you cannot get out of. Both readings are current, in different languages, for the same position in the same count.</w:t>
      </w:r>
    </w:p>
    <w:p>
      <w:pPr>
        <w:pStyle w:val="Heading2"/>
      </w:pPr>
      <w:r>
        <w:t xml:space="preserve">Religion and daykeeping</w:t>
      </w:r>
    </w:p>
    <w:p>
      <w:r>
        <w:t xml:space="preserve">In </w:t>
      </w:r>
      <w:r>
        <w:rPr>
          <w:b/>
        </w:rPr>
        <w:t xml:space="preserve">living highland practice</w:t>
      </w:r>
      <w:r>
        <w:t xml:space="preserve">, K'at is the net, and daykeepers work both of its faces. Ethnographic accounts and Guatemalan Maya organisations describe it as the day for untangling — debts, lawsuits, quarrels, imprisonment, anything a person is caught in — and equally as the day of what the net gathers and holds, the bundled harvest and the accumulation of a household. An </w:t>
      </w:r>
      <w:r>
        <w:rPr>
          <w:i/>
        </w:rPr>
        <w:t xml:space="preserve">ajq'ij</w:t>
      </w:r>
      <w:r>
        <w:t xml:space="preserve"> born on K'at is spoken of as able to loosen knots in other people's affairs and prone to getting caught in their own. Petitions for release are among the commonest made on this day. Which shrine is used, and in what words, is taught within the initiation lineage and is not published here.</w:t>
      </w:r>
    </w:p>
    <w:p>
      <w:r>
        <w:t xml:space="preserve">K'an is one of the four </w:t>
      </w:r>
      <w:r>
        <w:rPr>
          <w:b/>
        </w:rPr>
        <w:t xml:space="preserve">year bearers</w:t>
      </w:r>
      <w:r>
        <w:t xml:space="preserve"> in Landa's sixteenth-century Yucatec set — K'an, Muluk, Ix, Kawak — the set that also governs the new-year pages of the </w:t>
      </w:r>
      <w:r>
        <w:rPr>
          <w:b/>
        </w:rPr>
        <w:t xml:space="preserve">Dresden Codex</w:t>
      </w:r>
      <w:r>
        <w:t xml:space="preserve"> (pages 25–28), where each bearer is shown with its direction, its colour and the rites proper to the year it opens. K'an holds the south and the colour yellow in that scheme, which is exactly what the four-direction rotation through the twenty predicts. That is a satisfying internal check on a reconstruction that came to us in pieces.</w:t>
      </w:r>
    </w:p>
    <w:p>
      <w:r>
        <w:t xml:space="preserve">In the </w:t>
      </w:r>
      <w:r>
        <w:rPr>
          <w:b/>
        </w:rPr>
        <w:t xml:space="preserve">Classic record</w:t>
      </w:r>
      <w:r>
        <w:t xml:space="preserve">, yellow-and-ripe is bound up with maize and with the Maize God, whose cycle of death in the underworld and resurrection is the single most-illustrated narrative on Classic painted pottery. The </w:t>
      </w:r>
      <w:r>
        <w:rPr>
          <w:b/>
        </w:rPr>
        <w:t xml:space="preserve">Madrid Codex</w:t>
      </w:r>
      <w:r>
        <w:t xml:space="preserve">, mostly 260-day working almanacs, devotes substantial sections to agriculture — planting, burning, the cycle of the milpa — and it is in that kind of almanac, rather than in any statement of doctrine, that the practical weight of a ripening day sits.</w:t>
      </w:r>
    </w:p>
    <w:p>
      <w:r>
        <w:t xml:space="preserve">The Aztec cognate is </w:t>
      </w:r>
      <w:r>
        <w:rPr>
          <w:b/>
        </w:rPr>
        <w:t xml:space="preserve">Cuetzpalin</w:t>
      </w:r>
      <w:r>
        <w:t xml:space="preserve">, the lizard, patron Huehuecoyotl — a sign that translates to neither ripeness nor net, a reminder that the twenty positions are shared across Mesoamerica while their names are not. The Zapotec </w:t>
      </w:r>
      <w:r>
        <w:rPr>
          <w:i/>
        </w:rPr>
        <w:t xml:space="preserve">piyè</w:t>
      </w:r>
      <w:r>
        <w:t xml:space="preserve"> and the Mixtec codices run the same position, conventionally glossed Lizard.</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600–500 BCE </w:t>
            </w:r>
            <w:r>
              <w:rPr>
                <w:i/>
              </w:rPr>
              <w:t xml:space="preserve">(contested)</w:t>
            </w:r>
          </w:p>
        </w:tc>
        <w:tc>
          <w:tcPr>
            <w:tcW w:w="2400" w:type="dxa"/>
          </w:tcPr>
          <w:p>
            <w:pPr>
              <w:pStyle w:val="TableText"/>
            </w:pPr>
            <w:r>
              <w:t xml:space="preserve">Earliest 260-day count glyphs, Oaxaca — San José Mogote and Monte Albán. Zapotec, not Maya.</w:t>
            </w:r>
          </w:p>
        </w:tc>
      </w:tr>
      <w:tr>
        <w:tc>
          <w:tcPr>
            <w:tcW w:w="2400" w:type="dxa"/>
          </w:tcPr>
          <w:p>
            <w:pPr>
              <w:pStyle w:val="TableText"/>
            </w:pPr>
            <w:r>
              <w:t xml:space="preserve">36 / 32 BCE</w:t>
            </w:r>
          </w:p>
        </w:tc>
        <w:tc>
          <w:tcPr>
            <w:tcW w:w="2400" w:type="dxa"/>
          </w:tcPr>
          <w:p>
            <w:pPr>
              <w:pStyle w:val="TableText"/>
            </w:pPr>
            <w:r>
              <w:t xml:space="preserve">Chiapa de Corzo Stela 2 and Tres Zapotes Stela C, the earliest dated Long Counts. Both partly reconstructed.</w:t>
            </w:r>
          </w:p>
        </w:tc>
      </w:tr>
      <w:tr>
        <w:tc>
          <w:tcPr>
            <w:tcW w:w="2400" w:type="dxa"/>
          </w:tcPr>
          <w:p>
            <w:pPr>
              <w:pStyle w:val="TableText"/>
            </w:pPr>
            <w:r>
              <w:t xml:space="preserve">c. 250–900 CE</w:t>
            </w:r>
          </w:p>
        </w:tc>
        <w:tc>
          <w:tcPr>
            <w:tcW w:w="2400" w:type="dxa"/>
          </w:tcPr>
          <w:p>
            <w:pPr>
              <w:pStyle w:val="TableText"/>
            </w:pPr>
            <w:r>
              <w:t xml:space="preserve">Classic period: day signs in cartouches with bar-and-dot coefficients across the lowlands.</w:t>
            </w:r>
          </w:p>
        </w:tc>
      </w:tr>
      <w:tr>
        <w:tc>
          <w:tcPr>
            <w:tcW w:w="2400" w:type="dxa"/>
          </w:tcPr>
          <w:p>
            <w:pPr>
              <w:pStyle w:val="TableText"/>
            </w:pPr>
            <w:r>
              <w:t xml:space="preserve">11th–12th c. CE </w:t>
            </w:r>
            <w:r>
              <w:rPr>
                <w:i/>
              </w:rPr>
              <w:t xml:space="preserve">(debated)</w:t>
            </w:r>
          </w:p>
        </w:tc>
        <w:tc>
          <w:tcPr>
            <w:tcW w:w="2400" w:type="dxa"/>
          </w:tcPr>
          <w:p>
            <w:pPr>
              <w:pStyle w:val="TableText"/>
            </w:pPr>
            <w:r>
              <w:t xml:space="preserve">The Dresden Codex copy, including the new-year pages with the K'an / Muluk / Ix / Kawak year bearers.</w:t>
            </w:r>
          </w:p>
        </w:tc>
      </w:tr>
      <w:tr>
        <w:tc>
          <w:tcPr>
            <w:tcW w:w="2400" w:type="dxa"/>
          </w:tcPr>
          <w:p>
            <w:pPr>
              <w:pStyle w:val="TableText"/>
            </w:pPr>
            <w:r>
              <w:t xml:space="preserve">1562 / 1566</w:t>
            </w:r>
          </w:p>
        </w:tc>
        <w:tc>
          <w:tcPr>
            <w:tcW w:w="2400" w:type="dxa"/>
          </w:tcPr>
          <w:p>
            <w:pPr>
              <w:pStyle w:val="TableText"/>
            </w:pPr>
            <w:r>
              <w:t xml:space="preserve">Landa burns the books at Maní, then records the twenty day names and the Yucatec year bearers.</w:t>
            </w:r>
          </w:p>
        </w:tc>
      </w:tr>
      <w:tr>
        <w:tc>
          <w:tcPr>
            <w:tcW w:w="2400" w:type="dxa"/>
          </w:tcPr>
          <w:p>
            <w:pPr>
              <w:pStyle w:val="TableText"/>
            </w:pPr>
            <w:r>
              <w:t xml:space="preserve">1905–1935</w:t>
            </w:r>
          </w:p>
        </w:tc>
        <w:tc>
          <w:tcPr>
            <w:tcW w:w="2400" w:type="dxa"/>
          </w:tcPr>
          <w:p>
            <w:pPr>
              <w:pStyle w:val="TableText"/>
            </w:pPr>
            <w:r>
              <w:t xml:space="preserve">The Goodman–Martínez–Thompson correlation, constant 584283. Mainstream, not unanimous.</w:t>
            </w:r>
          </w:p>
        </w:tc>
      </w:tr>
      <w:tr>
        <w:tc>
          <w:tcPr>
            <w:tcW w:w="2400" w:type="dxa"/>
          </w:tcPr>
          <w:p>
            <w:pPr>
              <w:pStyle w:val="TableText"/>
            </w:pPr>
            <w:r>
              <w:t xml:space="preserve">11 Aug 3114 BCE</w:t>
            </w:r>
          </w:p>
        </w:tc>
        <w:tc>
          <w:tcPr>
            <w:tcW w:w="2400" w:type="dxa"/>
          </w:tcPr>
          <w:p>
            <w:pPr>
              <w:pStyle w:val="TableText"/>
            </w:pPr>
            <w:r>
              <w:t xml:space="preserve">Long Count zero under GMT 584283 (6 Sep 3114 BCE Julian); the 584285 variant gives 13 August.</w:t>
            </w:r>
          </w:p>
        </w:tc>
      </w:tr>
      <w:tr>
        <w:tc>
          <w:tcPr>
            <w:tcW w:w="2400" w:type="dxa"/>
          </w:tcPr>
          <w:p>
            <w:pPr>
              <w:pStyle w:val="TableText"/>
            </w:pPr>
            <w:r>
              <w:t xml:space="preserve">21 Dec 2012</w:t>
            </w:r>
          </w:p>
        </w:tc>
        <w:tc>
          <w:tcPr>
            <w:tcW w:w="2400" w:type="dxa"/>
          </w:tcPr>
          <w:p>
            <w:pPr>
              <w:pStyle w:val="TableText"/>
            </w:pPr>
            <w:r>
              <w:t xml:space="preserve">13.0.0.0.0, 4 Ajaw 3 K'ank'in — the anchor this site counts from.</w:t>
            </w:r>
          </w:p>
        </w:tc>
      </w:tr>
      <w:tr>
        <w:tc>
          <w:tcPr>
            <w:tcW w:w="2400" w:type="dxa"/>
          </w:tcPr>
          <w:p>
            <w:pPr>
              <w:pStyle w:val="TableText"/>
            </w:pPr>
            <w:r>
              <w:t xml:space="preserve">1995 / 1996</w:t>
            </w:r>
          </w:p>
        </w:tc>
        <w:tc>
          <w:tcPr>
            <w:tcW w:w="2400" w:type="dxa"/>
          </w:tcPr>
          <w:p>
            <w:pPr>
              <w:pStyle w:val="TableText"/>
            </w:pPr>
            <w:r>
              <w:t xml:space="preserve">Guatemala's Peace Accords recognise Maya spirituality and access to sacred places.</w:t>
            </w:r>
          </w:p>
        </w:tc>
      </w:tr>
    </w:tbl>
    <w:p/>
    <w:p>
      <w:pPr>
        <w:pStyle w:val="Heading2"/>
      </w:pPr>
      <w:r>
        <w:t xml:space="preserve">In the count</w:t>
      </w:r>
    </w:p>
    <w:p>
      <w:r>
        <w:t xml:space="preserve">K'an returns </w:t>
      </w:r>
      <w:r>
        <w:rPr>
          <w:b/>
        </w:rPr>
        <w:t xml:space="preserve">every twenty days</w:t>
      </w:r>
      <w:r>
        <w:t xml:space="preserve">, its coefficient rising by seven each time because twenty leaves seven on division by thirteen — 7, 1, 8, 2, 9, 3, 10, 4, 11, 5, 12, 6, 13. Thirteen appearances take </w:t>
      </w:r>
      <w:r>
        <w:rPr>
          <w:b/>
        </w:rPr>
        <w:t xml:space="preserve">260 days</w:t>
      </w:r>
      <w:r>
        <w:t xml:space="preserve">, after which the exact pairing recurs.</w:t>
      </w:r>
    </w:p>
    <w:p>
      <w:r>
        <w:t xml:space="preserve">Upcoming in 2026, on the site's GMT anchor: </w:t>
      </w:r>
      <w:r>
        <w:rPr>
          <w:b/>
        </w:rPr>
        <w:t xml:space="preserve">14 August (9 K'an)</w:t>
      </w:r>
      <w:r>
        <w:t xml:space="preserve">, </w:t>
      </w:r>
      <w:r>
        <w:rPr>
          <w:b/>
        </w:rPr>
        <w:t xml:space="preserve">3 September (3 K'an)</w:t>
      </w:r>
      <w:r>
        <w:t xml:space="preserve">, </w:t>
      </w:r>
      <w:r>
        <w:rPr>
          <w:b/>
        </w:rPr>
        <w:t xml:space="preserve">23 September (10 K'an)</w:t>
      </w:r>
      <w:r>
        <w:t xml:space="preserve">.</w:t>
      </w:r>
    </w:p>
    <w:p>
      <w:pPr>
        <w:pStyle w:val="Heading2"/>
      </w:pPr>
      <w:r>
        <w:t xml:space="preserve">Related</w:t>
      </w:r>
    </w:p>
    <w:p>
      <w:pPr>
        <w:pStyle w:val="ListParagraph"/>
        <w:numPr>
          <w:ilvl w:val="0"/>
          <w:numId w:val="1"/>
        </w:numPr>
      </w:pPr>
      <w:hyperlink r:id="rId136">
        <w:r>
          <w:rPr>
            <w:color w:val="1F4E79"/>
            <w:u w:val="single"/>
          </w:rPr>
          <w:t xml:space="preserve">Maya Tzolk'in</w:t>
        </w:r>
      </w:hyperlink>
      <w:r>
        <w:t xml:space="preserve"> — the system, the count, and what it is not.</w:t>
      </w:r>
    </w:p>
    <w:p>
      <w:pPr>
        <w:pStyle w:val="ListParagraph"/>
        <w:numPr>
          <w:ilvl w:val="0"/>
          <w:numId w:val="1"/>
        </w:numPr>
      </w:pPr>
      <w:hyperlink r:id="rId137">
        <w:r>
          <w:rPr>
            <w:color w:val="1F4E79"/>
            <w:u w:val="single"/>
          </w:rPr>
          <w:t xml:space="preserve">Ak'b'al</w:t>
        </w:r>
      </w:hyperlink>
      <w:r>
        <w:t xml:space="preserve"> — the day before.</w:t>
      </w:r>
    </w:p>
    <w:p>
      <w:pPr>
        <w:pStyle w:val="ListParagraph"/>
        <w:numPr>
          <w:ilvl w:val="0"/>
          <w:numId w:val="1"/>
        </w:numPr>
      </w:pPr>
      <w:hyperlink r:id="rId138">
        <w:r>
          <w:rPr>
            <w:color w:val="1F4E79"/>
            <w:u w:val="single"/>
          </w:rPr>
          <w:t xml:space="preserve">Chikchan</w:t>
        </w:r>
      </w:hyperlink>
      <w:r>
        <w:t xml:space="preserve"> — the day after.</w:t>
      </w:r>
    </w:p>
    <w:p>
      <w:pPr>
        <w:pStyle w:val="ListParagraph"/>
        <w:numPr>
          <w:ilvl w:val="0"/>
          <w:numId w:val="1"/>
        </w:numPr>
      </w:pPr>
      <w:hyperlink r:id="rId139">
        <w:r>
          <w:rPr>
            <w:color w:val="1F4E79"/>
            <w:u w:val="single"/>
          </w:rPr>
          <w:t xml:space="preserve">World Zodiacs</w:t>
        </w:r>
      </w:hyperlink>
      <w:r>
        <w:t xml:space="preserve"> · </w:t>
      </w:r>
      <w:hyperlink r:id="rId140">
        <w:r>
          <w:rPr>
            <w:color w:val="1F4E79"/>
            <w:u w:val="single"/>
          </w:rPr>
          <w:t xml:space="preserve">Religion</w:t>
        </w:r>
      </w:hyperlink>
      <w:r>
        <w:t xml:space="preserve"> · </w:t>
      </w:r>
      <w:hyperlink r:id="rId141">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aya/kan" TargetMode="External"/><Relationship Id="rId101" Type="http://schemas.openxmlformats.org/officeDocument/2006/relationships/hyperlink" Target="https://www.agoramores.com/tags/mesoamerica" TargetMode="External"/><Relationship Id="rId102" Type="http://schemas.openxmlformats.org/officeDocument/2006/relationships/hyperlink" Target="https://www.agoramores.com/culture/zodiac/maya/ajaw" TargetMode="External"/><Relationship Id="rId103" Type="http://schemas.openxmlformats.org/officeDocument/2006/relationships/hyperlink" Target="https://www.agoramores.com/culture/zodiac/maya/chikchan" TargetMode="External"/><Relationship Id="rId104" Type="http://schemas.openxmlformats.org/officeDocument/2006/relationships/hyperlink" Target="https://www.agoramores.com/culture/zodiac/maya" TargetMode="External"/><Relationship Id="rId105" Type="http://schemas.openxmlformats.org/officeDocument/2006/relationships/hyperlink" Target="https://www.agoramores.com/culture/zodiac/maya/akbal" TargetMode="External"/><Relationship Id="rId106" Type="http://schemas.openxmlformats.org/officeDocument/2006/relationships/hyperlink" Target="https://www.agoramores.com/culture/zodiac/maya/ben" TargetMode="External"/><Relationship Id="rId107" Type="http://schemas.openxmlformats.org/officeDocument/2006/relationships/hyperlink" Target="https://www.agoramores.com/culture/zodiac/maya/chuwen" TargetMode="External"/><Relationship Id="rId108" Type="http://schemas.openxmlformats.org/officeDocument/2006/relationships/hyperlink" Target="https://www.agoramores.com/tags/maya" TargetMode="External"/><Relationship Id="rId109" Type="http://schemas.openxmlformats.org/officeDocument/2006/relationships/hyperlink" Target="https://www.agoramores.com/culture/zodiac/maya/eb" TargetMode="External"/><Relationship Id="rId110" Type="http://schemas.openxmlformats.org/officeDocument/2006/relationships/hyperlink" Target="https://www.agoramores.com/culture/zodiac/maya/ik" TargetMode="External"/><Relationship Id="rId111" Type="http://schemas.openxmlformats.org/officeDocument/2006/relationships/hyperlink" Target="https://www.agoramores.com/culture/zodiac/maya/imix" TargetMode="External"/><Relationship Id="rId112" Type="http://schemas.openxmlformats.org/officeDocument/2006/relationships/hyperlink" Target="https://www.agoramores.com/culture/zodiac/maya/ix" TargetMode="External"/><Relationship Id="rId113" Type="http://schemas.openxmlformats.org/officeDocument/2006/relationships/hyperlink" Target="https://www.agoramores.com/culture/zodiac/maya/kib" TargetMode="External"/><Relationship Id="rId114" Type="http://schemas.openxmlformats.org/officeDocument/2006/relationships/hyperlink" Target="https://www.agoramores.com/culture/zodiac/maya/kaban" TargetMode="External"/><Relationship Id="rId115" Type="http://schemas.openxmlformats.org/officeDocument/2006/relationships/hyperlink" Target="https://www.agoramores.com/tags/tzolkin" TargetMode="External"/><Relationship Id="rId116" Type="http://schemas.openxmlformats.org/officeDocument/2006/relationships/hyperlink" Target="https://www.agoramores.com/culture/zodiac/maya/kawak" TargetMode="External"/><Relationship Id="rId117" Type="http://schemas.openxmlformats.org/officeDocument/2006/relationships/hyperlink" Target="https://www.agoramores.com/culture/zodiac/maya/lamat" TargetMode="External"/><Relationship Id="rId118" Type="http://schemas.openxmlformats.org/officeDocument/2006/relationships/hyperlink" Target="https://www.agoramores.com/culture/zodiac/maya/manik" TargetMode="External"/><Relationship Id="rId119" Type="http://schemas.openxmlformats.org/officeDocument/2006/relationships/hyperlink" Target="https://www.agoramores.com/culture/zodiac/maya/muluk" TargetMode="External"/><Relationship Id="rId120" Type="http://schemas.openxmlformats.org/officeDocument/2006/relationships/hyperlink" Target="https://www.agoramores.com/culture/zodiac/maya/ok" TargetMode="External"/><Relationship Id="rId121" Type="http://schemas.openxmlformats.org/officeDocument/2006/relationships/hyperlink" Target="https://www.agoramores.com/culture/zodiac/maya/etznab" TargetMode="External"/><Relationship Id="rId122" Type="http://schemas.openxmlformats.org/officeDocument/2006/relationships/hyperlink" Target="https://www.agoramores.com/tags/zodiac" TargetMode="External"/><Relationship Id="rId123" Type="http://schemas.openxmlformats.org/officeDocument/2006/relationships/hyperlink" Target="https://www.agoramores.com/culture/zodiac" TargetMode="External"/><Relationship Id="rId124" Type="http://schemas.openxmlformats.org/officeDocument/2006/relationships/hyperlink" Target="https://www.agoramores.com/culture/zodiac/celtic/rowan-celtic-tree-calendar" TargetMode="External"/><Relationship Id="rId125" Type="http://schemas.openxmlformats.org/officeDocument/2006/relationships/hyperlink" Target="https://www.agoramores.com/culture/zodiac/western" TargetMode="External"/><Relationship Id="rId126" Type="http://schemas.openxmlformats.org/officeDocument/2006/relationships/hyperlink" Target="https://www.agoramores.com/culture/zodiac/celtic" TargetMode="External"/><Relationship Id="rId127" Type="http://schemas.openxmlformats.org/officeDocument/2006/relationships/hyperlink" Target="https://www.agoramores.com/culture/zodiac/egyptian/isis" TargetMode="External"/><Relationship Id="rId128" Type="http://schemas.openxmlformats.org/officeDocument/2006/relationships/hyperlink" Target="https://www.agoramores.com/culture/zodiac/celtic/ash-celtic-tree-calendar" TargetMode="External"/><Relationship Id="rId129" Type="http://schemas.openxmlformats.org/officeDocument/2006/relationships/hyperlink" Target="https://www.agoramores.com/tags/culture" TargetMode="External"/><Relationship Id="rId130" Type="http://schemas.openxmlformats.org/officeDocument/2006/relationships/hyperlink" Target="https://www.agoramores.com/culture" TargetMode="External"/><Relationship Id="rId131" Type="http://schemas.openxmlformats.org/officeDocument/2006/relationships/hyperlink" Target="https://www.agoramores.com/culture/languages/french" TargetMode="External"/><Relationship Id="rId132" Type="http://schemas.openxmlformats.org/officeDocument/2006/relationships/hyperlink" Target="https://www.agoramores.com/culture/diaspora/refugees" TargetMode="External"/><Relationship Id="rId133" Type="http://schemas.openxmlformats.org/officeDocument/2006/relationships/hyperlink" Target="https://www.agoramores.com/culture/languages" TargetMode="External"/><Relationship Id="rId134" Type="http://schemas.openxmlformats.org/officeDocument/2006/relationships/hyperlink" Target="https://www.agoramores.com/culture/languages/francophone" TargetMode="External"/><Relationship Id="rId135" Type="http://schemas.openxmlformats.org/officeDocument/2006/relationships/hyperlink" Target="https://www.agoramores.com/culture/languages/arabic" TargetMode="External"/><Relationship Id="rId136" Type="http://schemas.openxmlformats.org/officeDocument/2006/relationships/hyperlink" Target="https://www.agoramores.com/culture/zodiac/maya/portal" TargetMode="External"/><Relationship Id="rId137" Type="http://schemas.openxmlformats.org/officeDocument/2006/relationships/hyperlink" Target="https://www.agoramores.com/culture/zodiac/maya/akbal" TargetMode="External"/><Relationship Id="rId138" Type="http://schemas.openxmlformats.org/officeDocument/2006/relationships/hyperlink" Target="https://www.agoramores.com/culture/zodiac/maya/chikchan" TargetMode="External"/><Relationship Id="rId139" Type="http://schemas.openxmlformats.org/officeDocument/2006/relationships/hyperlink" Target="https://www.agoramores.com/culture/zodiac/portal" TargetMode="External"/><Relationship Id="rId140" Type="http://schemas.openxmlformats.org/officeDocument/2006/relationships/hyperlink" Target="https://www.agoramores.com/religion/portal" TargetMode="External"/><Relationship Id="rId141"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K'an</dc:title>
  <dc:creator>Agoramores</dc:creator>
  <cp:keywords>culture, zodiac, tzolkin, maya, mesoamerica</cp:keywords>
  <dcterms:created xsi:type="dcterms:W3CDTF">2026-08-22T02:56:57Z</dcterms:created>
</cp:coreProperties>
</file>