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w="http://schemas.openxmlformats.org/wordprocessingml/2006/main" xmlns:r="http://schemas.openxmlformats.org/officeDocument/2006/relationships">
  <w:body>
    <w:p>
      <w:pPr>
        <w:pStyle w:val="Title"/>
      </w:pPr>
      <w:r>
        <w:t xml:space="preserve">Ix</w:t>
      </w:r>
    </w:p>
    <w:p>
      <w:pPr>
        <w:pStyle w:val="Subtitle"/>
      </w:pPr>
      <w:hyperlink r:id="rId100">
        <w:r>
          <w:rPr>
            <w:color w:val="1F4E79"/>
            <w:u w:val="single"/>
          </w:rPr>
          <w:t xml:space="preserve">https://www.agoramores.com/culture/zodiac/maya/ix</w:t>
        </w:r>
      </w:hyperlink>
    </w:p>
    <w:p>
      <w:pPr>
        <w:pStyle w:val="Subtitle"/>
      </w:pPr>
      <w:r>
        <w:t xml:space="preserve">Tags: culture · zodiac · tzolkin · maya · mesoamerica</w:t>
      </w:r>
    </w:p>
    <w:p>
      <w:pPr>
        <w:pBdr>
          <w:bottom w:val="single" w:sz="6" w:space="1" w:color="808080"/>
        </w:pBdr>
      </w:pPr>
    </w:p>
    <w:p>
      <w:pPr>
        <w:pStyle w:val="Heading1"/>
      </w:pPr>
      <w:r>
        <w:t xml:space="preserve">Related</w:t>
      </w:r>
    </w:p>
    <w:p>
      <w:pPr>
        <w:pStyle w:val="Heading2"/>
      </w:pPr>
      <w:hyperlink r:id="rId101">
        <w:r>
          <w:rPr>
            <w:color w:val="1F4E79"/>
            <w:u w:val="single"/>
          </w:rPr>
          <w:t xml:space="preserve">mesoamerica</w:t>
        </w:r>
      </w:hyperlink>
    </w:p>
    <w:p>
      <w:pPr>
        <w:pStyle w:val="ListParagraph"/>
        <w:numPr>
          <w:ilvl w:val="0"/>
          <w:numId w:val="1"/>
        </w:numPr>
      </w:pPr>
      <w:hyperlink r:id="rId102">
        <w:r>
          <w:rPr>
            <w:color w:val="1F4E79"/>
            <w:u w:val="single"/>
          </w:rPr>
          <w:t xml:space="preserve">maya</w:t>
        </w:r>
      </w:hyperlink>
    </w:p>
    <w:p>
      <w:pPr>
        <w:pStyle w:val="ListParagraph"/>
        <w:numPr>
          <w:ilvl w:val="0"/>
          <w:numId w:val="1"/>
        </w:numPr>
      </w:pPr>
      <w:hyperlink r:id="rId103">
        <w:r>
          <w:rPr>
            <w:color w:val="1F4E79"/>
            <w:u w:val="single"/>
          </w:rPr>
          <w:t xml:space="preserve">Ajaw</w:t>
        </w:r>
      </w:hyperlink>
    </w:p>
    <w:p>
      <w:pPr>
        <w:pStyle w:val="ListParagraph"/>
        <w:numPr>
          <w:ilvl w:val="0"/>
          <w:numId w:val="1"/>
        </w:numPr>
      </w:pPr>
      <w:hyperlink r:id="rId104">
        <w:r>
          <w:rPr>
            <w:color w:val="1F4E79"/>
            <w:u w:val="single"/>
          </w:rPr>
          <w:t xml:space="preserve">Ak'b'al</w:t>
        </w:r>
      </w:hyperlink>
    </w:p>
    <w:p>
      <w:pPr>
        <w:pStyle w:val="ListParagraph"/>
        <w:numPr>
          <w:ilvl w:val="0"/>
          <w:numId w:val="1"/>
        </w:numPr>
      </w:pPr>
      <w:hyperlink r:id="rId105">
        <w:r>
          <w:rPr>
            <w:color w:val="1F4E79"/>
            <w:u w:val="single"/>
          </w:rPr>
          <w:t xml:space="preserve">B'en</w:t>
        </w:r>
      </w:hyperlink>
    </w:p>
    <w:p>
      <w:pPr>
        <w:pStyle w:val="ListParagraph"/>
        <w:numPr>
          <w:ilvl w:val="0"/>
          <w:numId w:val="1"/>
        </w:numPr>
      </w:pPr>
      <w:hyperlink r:id="rId106">
        <w:r>
          <w:rPr>
            <w:color w:val="1F4E79"/>
            <w:u w:val="single"/>
          </w:rPr>
          <w:t xml:space="preserve">Chikchan</w:t>
        </w:r>
      </w:hyperlink>
    </w:p>
    <w:p>
      <w:pPr>
        <w:pStyle w:val="ListParagraph"/>
        <w:numPr>
          <w:ilvl w:val="0"/>
          <w:numId w:val="1"/>
        </w:numPr>
      </w:pPr>
      <w:hyperlink r:id="rId107">
        <w:r>
          <w:rPr>
            <w:color w:val="1F4E79"/>
            <w:u w:val="single"/>
          </w:rPr>
          <w:t xml:space="preserve">Chuwen</w:t>
        </w:r>
      </w:hyperlink>
    </w:p>
    <w:p>
      <w:pPr>
        <w:pStyle w:val="Heading2"/>
      </w:pPr>
      <w:hyperlink r:id="rId108">
        <w:r>
          <w:rPr>
            <w:color w:val="1F4E79"/>
            <w:u w:val="single"/>
          </w:rPr>
          <w:t xml:space="preserve">maya</w:t>
        </w:r>
      </w:hyperlink>
    </w:p>
    <w:p>
      <w:pPr>
        <w:pStyle w:val="ListParagraph"/>
        <w:numPr>
          <w:ilvl w:val="0"/>
          <w:numId w:val="1"/>
        </w:numPr>
      </w:pPr>
      <w:hyperlink r:id="rId109">
        <w:r>
          <w:rPr>
            <w:color w:val="1F4E79"/>
            <w:u w:val="single"/>
          </w:rPr>
          <w:t xml:space="preserve">Eb'</w:t>
        </w:r>
      </w:hyperlink>
    </w:p>
    <w:p>
      <w:pPr>
        <w:pStyle w:val="ListParagraph"/>
        <w:numPr>
          <w:ilvl w:val="0"/>
          <w:numId w:val="1"/>
        </w:numPr>
      </w:pPr>
      <w:hyperlink r:id="rId110">
        <w:r>
          <w:rPr>
            <w:color w:val="1F4E79"/>
            <w:u w:val="single"/>
          </w:rPr>
          <w:t xml:space="preserve">Ik'</w:t>
        </w:r>
      </w:hyperlink>
    </w:p>
    <w:p>
      <w:pPr>
        <w:pStyle w:val="ListParagraph"/>
        <w:numPr>
          <w:ilvl w:val="0"/>
          <w:numId w:val="1"/>
        </w:numPr>
      </w:pPr>
      <w:hyperlink r:id="rId111">
        <w:r>
          <w:rPr>
            <w:color w:val="1F4E79"/>
            <w:u w:val="single"/>
          </w:rPr>
          <w:t xml:space="preserve">Imix</w:t>
        </w:r>
      </w:hyperlink>
    </w:p>
    <w:p>
      <w:pPr>
        <w:pStyle w:val="ListParagraph"/>
        <w:numPr>
          <w:ilvl w:val="0"/>
          <w:numId w:val="1"/>
        </w:numPr>
      </w:pPr>
      <w:hyperlink r:id="rId112">
        <w:r>
          <w:rPr>
            <w:color w:val="1F4E79"/>
            <w:u w:val="single"/>
          </w:rPr>
          <w:t xml:space="preserve">K'an</w:t>
        </w:r>
      </w:hyperlink>
    </w:p>
    <w:p>
      <w:pPr>
        <w:pStyle w:val="ListParagraph"/>
        <w:numPr>
          <w:ilvl w:val="0"/>
          <w:numId w:val="1"/>
        </w:numPr>
      </w:pPr>
      <w:hyperlink r:id="rId113">
        <w:r>
          <w:rPr>
            <w:color w:val="1F4E79"/>
            <w:u w:val="single"/>
          </w:rPr>
          <w:t xml:space="preserve">K'ib'</w:t>
        </w:r>
      </w:hyperlink>
    </w:p>
    <w:p>
      <w:pPr>
        <w:pStyle w:val="ListParagraph"/>
        <w:numPr>
          <w:ilvl w:val="0"/>
          <w:numId w:val="1"/>
        </w:numPr>
      </w:pPr>
      <w:hyperlink r:id="rId114">
        <w:r>
          <w:rPr>
            <w:color w:val="1F4E79"/>
            <w:u w:val="single"/>
          </w:rPr>
          <w:t xml:space="preserve">Kab'an</w:t>
        </w:r>
      </w:hyperlink>
    </w:p>
    <w:p>
      <w:pPr>
        <w:pStyle w:val="Heading2"/>
      </w:pPr>
      <w:hyperlink r:id="rId115">
        <w:r>
          <w:rPr>
            <w:color w:val="1F4E79"/>
            <w:u w:val="single"/>
          </w:rPr>
          <w:t xml:space="preserve">tzolkin</w:t>
        </w:r>
      </w:hyperlink>
    </w:p>
    <w:p>
      <w:pPr>
        <w:pStyle w:val="ListParagraph"/>
        <w:numPr>
          <w:ilvl w:val="0"/>
          <w:numId w:val="1"/>
        </w:numPr>
      </w:pPr>
      <w:hyperlink r:id="rId116">
        <w:r>
          <w:rPr>
            <w:color w:val="1F4E79"/>
            <w:u w:val="single"/>
          </w:rPr>
          <w:t xml:space="preserve">Kawak</w:t>
        </w:r>
      </w:hyperlink>
    </w:p>
    <w:p>
      <w:pPr>
        <w:pStyle w:val="ListParagraph"/>
        <w:numPr>
          <w:ilvl w:val="0"/>
          <w:numId w:val="1"/>
        </w:numPr>
      </w:pPr>
      <w:hyperlink r:id="rId117">
        <w:r>
          <w:rPr>
            <w:color w:val="1F4E79"/>
            <w:u w:val="single"/>
          </w:rPr>
          <w:t xml:space="preserve">Manik'</w:t>
        </w:r>
      </w:hyperlink>
    </w:p>
    <w:p>
      <w:pPr>
        <w:pStyle w:val="ListParagraph"/>
        <w:numPr>
          <w:ilvl w:val="0"/>
          <w:numId w:val="1"/>
        </w:numPr>
      </w:pPr>
      <w:hyperlink r:id="rId118">
        <w:r>
          <w:rPr>
            <w:color w:val="1F4E79"/>
            <w:u w:val="single"/>
          </w:rPr>
          <w:t xml:space="preserve">Ok</w:t>
        </w:r>
      </w:hyperlink>
    </w:p>
    <w:p>
      <w:pPr>
        <w:pStyle w:val="ListParagraph"/>
        <w:numPr>
          <w:ilvl w:val="0"/>
          <w:numId w:val="1"/>
        </w:numPr>
      </w:pPr>
      <w:hyperlink r:id="rId119">
        <w:r>
          <w:rPr>
            <w:color w:val="1F4E79"/>
            <w:u w:val="single"/>
          </w:rPr>
          <w:t xml:space="preserve">Etz'nab'</w:t>
        </w:r>
      </w:hyperlink>
    </w:p>
    <w:p>
      <w:pPr>
        <w:pStyle w:val="ListParagraph"/>
        <w:numPr>
          <w:ilvl w:val="0"/>
          <w:numId w:val="1"/>
        </w:numPr>
      </w:pPr>
      <w:hyperlink r:id="rId120">
        <w:r>
          <w:rPr>
            <w:color w:val="1F4E79"/>
            <w:u w:val="single"/>
          </w:rPr>
          <w:t xml:space="preserve">Kimi</w:t>
        </w:r>
      </w:hyperlink>
    </w:p>
    <w:p>
      <w:pPr>
        <w:pStyle w:val="ListParagraph"/>
        <w:numPr>
          <w:ilvl w:val="0"/>
          <w:numId w:val="1"/>
        </w:numPr>
      </w:pPr>
      <w:hyperlink r:id="rId121">
        <w:r>
          <w:rPr>
            <w:color w:val="1F4E79"/>
            <w:u w:val="single"/>
          </w:rPr>
          <w:t xml:space="preserve">Lamat</w:t>
        </w:r>
      </w:hyperlink>
    </w:p>
    <w:p>
      <w:pPr>
        <w:pStyle w:val="Heading2"/>
      </w:pPr>
      <w:hyperlink r:id="rId122">
        <w:r>
          <w:rPr>
            <w:color w:val="1F4E79"/>
            <w:u w:val="single"/>
          </w:rPr>
          <w:t xml:space="preserve">zodiac</w:t>
        </w:r>
      </w:hyperlink>
    </w:p>
    <w:p>
      <w:pPr>
        <w:pStyle w:val="ListParagraph"/>
        <w:numPr>
          <w:ilvl w:val="0"/>
          <w:numId w:val="1"/>
        </w:numPr>
      </w:pPr>
      <w:hyperlink r:id="rId123">
        <w:r>
          <w:rPr>
            <w:color w:val="1F4E79"/>
            <w:u w:val="single"/>
          </w:rPr>
          <w:t xml:space="preserve">zodiac</w:t>
        </w:r>
      </w:hyperlink>
    </w:p>
    <w:p>
      <w:pPr>
        <w:pStyle w:val="ListParagraph"/>
        <w:numPr>
          <w:ilvl w:val="0"/>
          <w:numId w:val="1"/>
        </w:numPr>
      </w:pPr>
      <w:hyperlink r:id="rId124">
        <w:r>
          <w:rPr>
            <w:color w:val="1F4E79"/>
            <w:u w:val="single"/>
          </w:rPr>
          <w:t xml:space="preserve">western</w:t>
        </w:r>
      </w:hyperlink>
    </w:p>
    <w:p>
      <w:pPr>
        <w:pStyle w:val="ListParagraph"/>
        <w:numPr>
          <w:ilvl w:val="0"/>
          <w:numId w:val="1"/>
        </w:numPr>
      </w:pPr>
      <w:hyperlink r:id="rId125">
        <w:r>
          <w:rPr>
            <w:color w:val="1F4E79"/>
            <w:u w:val="single"/>
          </w:rPr>
          <w:t xml:space="preserve">Capricorn</w:t>
        </w:r>
      </w:hyperlink>
    </w:p>
    <w:p>
      <w:pPr>
        <w:pStyle w:val="ListParagraph"/>
        <w:numPr>
          <w:ilvl w:val="0"/>
          <w:numId w:val="1"/>
        </w:numPr>
      </w:pPr>
      <w:hyperlink r:id="rId126">
        <w:r>
          <w:rPr>
            <w:color w:val="1F4E79"/>
            <w:u w:val="single"/>
          </w:rPr>
          <w:t xml:space="preserve">Aquarius</w:t>
        </w:r>
      </w:hyperlink>
    </w:p>
    <w:p>
      <w:pPr>
        <w:pStyle w:val="ListParagraph"/>
        <w:numPr>
          <w:ilvl w:val="0"/>
          <w:numId w:val="1"/>
        </w:numPr>
      </w:pPr>
      <w:hyperlink r:id="rId127">
        <w:r>
          <w:rPr>
            <w:color w:val="1F4E79"/>
            <w:u w:val="single"/>
          </w:rPr>
          <w:t xml:space="preserve">celtic</w:t>
        </w:r>
      </w:hyperlink>
    </w:p>
    <w:p>
      <w:pPr>
        <w:pStyle w:val="ListParagraph"/>
        <w:numPr>
          <w:ilvl w:val="0"/>
          <w:numId w:val="1"/>
        </w:numPr>
      </w:pPr>
      <w:hyperlink r:id="rId128">
        <w:r>
          <w:rPr>
            <w:color w:val="1F4E79"/>
            <w:u w:val="single"/>
          </w:rPr>
          <w:t xml:space="preserve">vedic</w:t>
        </w:r>
      </w:hyperlink>
    </w:p>
    <w:p>
      <w:pPr>
        <w:pStyle w:val="Heading2"/>
      </w:pPr>
      <w:hyperlink r:id="rId129">
        <w:r>
          <w:rPr>
            <w:color w:val="1F4E79"/>
            <w:u w:val="single"/>
          </w:rPr>
          <w:t xml:space="preserve">culture</w:t>
        </w:r>
      </w:hyperlink>
    </w:p>
    <w:p>
      <w:pPr>
        <w:pStyle w:val="ListParagraph"/>
        <w:numPr>
          <w:ilvl w:val="0"/>
          <w:numId w:val="1"/>
        </w:numPr>
      </w:pPr>
      <w:hyperlink r:id="rId130">
        <w:r>
          <w:rPr>
            <w:color w:val="1F4E79"/>
            <w:u w:val="single"/>
          </w:rPr>
          <w:t xml:space="preserve">languages</w:t>
        </w:r>
      </w:hyperlink>
    </w:p>
    <w:p>
      <w:pPr>
        <w:pStyle w:val="ListParagraph"/>
        <w:numPr>
          <w:ilvl w:val="0"/>
          <w:numId w:val="1"/>
        </w:numPr>
      </w:pPr>
      <w:hyperlink r:id="rId131">
        <w:r>
          <w:rPr>
            <w:color w:val="1F4E79"/>
            <w:u w:val="single"/>
          </w:rPr>
          <w:t xml:space="preserve">culture</w:t>
        </w:r>
      </w:hyperlink>
    </w:p>
    <w:p>
      <w:pPr>
        <w:pStyle w:val="ListParagraph"/>
        <w:numPr>
          <w:ilvl w:val="0"/>
          <w:numId w:val="1"/>
        </w:numPr>
      </w:pPr>
      <w:hyperlink r:id="rId132">
        <w:r>
          <w:rPr>
            <w:color w:val="1F4E79"/>
            <w:u w:val="single"/>
          </w:rPr>
          <w:t xml:space="preserve">Arabic Speaking</w:t>
        </w:r>
      </w:hyperlink>
    </w:p>
    <w:p>
      <w:pPr>
        <w:pStyle w:val="ListParagraph"/>
        <w:numPr>
          <w:ilvl w:val="0"/>
          <w:numId w:val="1"/>
        </w:numPr>
      </w:pPr>
      <w:hyperlink r:id="rId133">
        <w:r>
          <w:rPr>
            <w:color w:val="1F4E79"/>
            <w:u w:val="single"/>
          </w:rPr>
          <w:t xml:space="preserve">English Speaking</w:t>
        </w:r>
      </w:hyperlink>
    </w:p>
    <w:p>
      <w:pPr>
        <w:pStyle w:val="ListParagraph"/>
        <w:numPr>
          <w:ilvl w:val="0"/>
          <w:numId w:val="1"/>
        </w:numPr>
      </w:pPr>
      <w:hyperlink r:id="rId134">
        <w:r>
          <w:rPr>
            <w:color w:val="1F4E79"/>
            <w:u w:val="single"/>
          </w:rPr>
          <w:t xml:space="preserve">Bhutanese Nepali Americans</w:t>
        </w:r>
      </w:hyperlink>
    </w:p>
    <w:p>
      <w:pPr>
        <w:pStyle w:val="ListParagraph"/>
        <w:numPr>
          <w:ilvl w:val="0"/>
          <w:numId w:val="1"/>
        </w:numPr>
      </w:pPr>
      <w:hyperlink r:id="rId135">
        <w:r>
          <w:rPr>
            <w:color w:val="1F4E79"/>
            <w:u w:val="single"/>
          </w:rPr>
          <w:t xml:space="preserve">Somali Speaking</w:t>
        </w:r>
      </w:hyperlink>
    </w:p>
    <w:p>
      <w:pPr>
        <w:pStyle w:val="Heading1"/>
      </w:pPr>
      <w:r>
        <w:t xml:space="preserve">Ix</w:t>
      </w:r>
    </w:p>
    <w:p>
      <w:r>
        <w:rPr>
          <w:b/>
        </w:rPr>
        <w:t xml:space="preserve">Fourteenth of the twenty.</w:t>
      </w:r>
      <w:r>
        <w:t xml:space="preserve"> Yucatec </w:t>
      </w:r>
      <w:r>
        <w:rPr>
          <w:b/>
        </w:rPr>
        <w:t xml:space="preserve">Ix</w:t>
      </w:r>
      <w:r>
        <w:t xml:space="preserve">; K'iche' </w:t>
      </w:r>
      <w:r>
        <w:rPr>
          <w:b/>
        </w:rPr>
        <w:t xml:space="preserve">I'x</w:t>
      </w:r>
      <w:r>
        <w:t xml:space="preserve">. The Classic main sign carries jaguar-pelt markings — the spots and the tufted element that identify the jaguar wherever it appears in the script — and the head variant is the animal itself. The site's tooltip gives it as </w:t>
      </w:r>
      <w:r>
        <w:rPr>
          <w:b/>
        </w:rPr>
        <w:t xml:space="preserve">the jaguar shaman of the wild</w:t>
      </w:r>
      <w:r>
        <w:t xml:space="preserve">. Direction north, colour white.</w:t>
      </w:r>
    </w:p>
    <w:p>
      <w:r>
        <w:t xml:space="preserve">The jaguar is the most loaded animal in Maya thought. It is the sun in its night passage, travelling under the world as the Jaguar God of the Underworld; it is the pelt a ruler sits on; and it is the shape a person of power is said to take. On Classic painted pottery the </w:t>
      </w:r>
      <w:r>
        <w:rPr>
          <w:i/>
        </w:rPr>
        <w:t xml:space="preserve">wahy</w:t>
      </w:r>
      <w:r>
        <w:t xml:space="preserve"> beings — co-essences belonging to lords and to places — are frequently jaguars or jaguar hybrids.</w:t>
      </w:r>
    </w:p>
    <w:p>
      <w:pPr>
        <w:pStyle w:val="Heading2"/>
      </w:pPr>
      <w:r>
        <w:t xml:space="preserve">Religion and daykeeping</w:t>
      </w:r>
    </w:p>
    <w:p>
      <w:r>
        <w:t xml:space="preserve">In </w:t>
      </w:r>
      <w:r>
        <w:rPr>
          <w:b/>
        </w:rPr>
        <w:t xml:space="preserve">living highland practice</w:t>
      </w:r>
      <w:r>
        <w:t xml:space="preserve">, I'x is the earth's own force. Ethnographic accounts and Guatemalan Maya organisations describe it as the day of the mountains and of the altars set on them, of the wild places, and of a power that is often spoken of as feminine — the strength of the land itself rather than strength exercised over it. It is named as a day for the shrines, for asking the earth's permission, for physical and spiritual vigour, and for matters concerning the natural world. An </w:t>
      </w:r>
      <w:r>
        <w:rPr>
          <w:i/>
        </w:rPr>
        <w:t xml:space="preserve">ajq'ij</w:t>
      </w:r>
      <w:r>
        <w:t xml:space="preserve"> born on I'x is spoken of as carrying unusual force with unusual reserve, effective and not easily read, and as needing the mountain. Where the altars are and what is done at them is taught inside the initiation lineage; it is described here, not prescribed, and emphasis varies between communities.</w:t>
      </w:r>
    </w:p>
    <w:p>
      <w:r>
        <w:t xml:space="preserve">Ix is one of the four </w:t>
      </w:r>
      <w:r>
        <w:rPr>
          <w:b/>
        </w:rPr>
        <w:t xml:space="preserve">year bearers</w:t>
      </w:r>
      <w:r>
        <w:t xml:space="preserve"> in Landa's sixteenth-century Yucatec set — K'an, Muluk, Ix, Kawak — holding the north and the colour white, exactly as the four-direction rotation through the twenty predicts. That same set governs the new-year pages of the </w:t>
      </w:r>
      <w:r>
        <w:rPr>
          <w:b/>
        </w:rPr>
        <w:t xml:space="preserve">Dresden Codex</w:t>
      </w:r>
      <w:r>
        <w:t xml:space="preserve">, pages 25 to 28, where each bearer appears with its direction and the rites attached to the year it opens. Those pages are Postclassic; the highland </w:t>
      </w:r>
      <w:r>
        <w:rPr>
          <w:i/>
        </w:rPr>
        <w:t xml:space="preserve">Mam</w:t>
      </w:r>
      <w:r>
        <w:t xml:space="preserve"> set in use today is Ik', Manik', Eb', Kab'an, a different set for a different place and time.</w:t>
      </w:r>
    </w:p>
    <w:p>
      <w:r>
        <w:t xml:space="preserve">In the </w:t>
      </w:r>
      <w:r>
        <w:rPr>
          <w:b/>
        </w:rPr>
        <w:t xml:space="preserve">Classic record</w:t>
      </w:r>
      <w:r>
        <w:t xml:space="preserve">, the jaguar sits at the centre of rulership: the title </w:t>
      </w:r>
      <w:r>
        <w:rPr>
          <w:i/>
        </w:rPr>
        <w:t xml:space="preserve">b'alam</w:t>
      </w:r>
      <w:r>
        <w:t xml:space="preserve"> is common in royal names, thrones are jaguar thrones, and the Jaguar God of the Underworld appears on war shields. The </w:t>
      </w:r>
      <w:r>
        <w:rPr>
          <w:b/>
          <w:i/>
        </w:rPr>
        <w:t xml:space="preserve">Popol Vuh</w:t>
      </w:r>
      <w:r>
        <w:t xml:space="preserve"> gives one of the Hero Twins the name </w:t>
      </w:r>
      <w:r>
        <w:rPr>
          <w:b/>
        </w:rPr>
        <w:t xml:space="preserve">Xb'alanke</w:t>
      </w:r>
      <w:r>
        <w:t xml:space="preserve">, in which </w:t>
      </w:r>
      <w:r>
        <w:rPr>
          <w:i/>
        </w:rPr>
        <w:t xml:space="preserve">b'alam</w:t>
      </w:r>
      <w:r>
        <w:t xml:space="preserve">, jaguar, is generally recognised — though the full etymology of the name is debated and the reading should not be pressed harder than that. The </w:t>
      </w:r>
      <w:r>
        <w:rPr>
          <w:b/>
        </w:rPr>
        <w:t xml:space="preserve">Madrid Codex</w:t>
      </w:r>
      <w:r>
        <w:t xml:space="preserve">, dominated by 260-day working almanacs, and the </w:t>
      </w:r>
      <w:r>
        <w:rPr>
          <w:b/>
        </w:rPr>
        <w:t xml:space="preserve">Dresden</w:t>
      </w:r>
      <w:r>
        <w:t xml:space="preserve"> carry Ix as a station among the twenty.</w:t>
      </w:r>
    </w:p>
    <w:p>
      <w:r>
        <w:t xml:space="preserve">The Aztec cognate is </w:t>
      </w:r>
      <w:r>
        <w:rPr>
          <w:b/>
        </w:rPr>
        <w:t xml:space="preserve">Ocelotl</w:t>
      </w:r>
      <w:r>
        <w:t xml:space="preserve">, jaguar, patron Tlazolteotl. The Zapotec </w:t>
      </w:r>
      <w:r>
        <w:rPr>
          <w:i/>
        </w:rPr>
        <w:t xml:space="preserve">piyè</w:t>
      </w:r>
      <w:r>
        <w:t xml:space="preserve"> and the Mixtec codices hold the same position, conventionally glossed Jaguar.</w:t>
      </w:r>
    </w:p>
    <w:p>
      <w:pPr>
        <w:pStyle w:val="Heading2"/>
      </w:pPr>
      <w:r>
        <w:t xml:space="preserve">Key dates</w:t>
      </w:r>
    </w:p>
    <w:tbl>
      <w:tblPr>
        <w:tblStyle w:val="TableGrid"/>
        <w:tblW w:w="0" w:type="auto"/>
      </w:tblPr>
      <w:tblGrid>
        <w:gridCol w:w="2400"/>
        <w:gridCol w:w="2400"/>
      </w:tblGrid>
      <w:tr>
        <w:trPr>
          <w:tblHeader/>
        </w:trPr>
        <w:tc>
          <w:tcPr>
            <w:tcW w:w="2400" w:type="dxa"/>
          </w:tcPr>
          <w:p>
            <w:pPr>
              <w:pStyle w:val="TableText"/>
            </w:pPr>
            <w:r>
              <w:rPr>
                <w:b/>
              </w:rPr>
              <w:t xml:space="preserve">Date</w:t>
            </w:r>
          </w:p>
        </w:tc>
        <w:tc>
          <w:tcPr>
            <w:tcW w:w="2400" w:type="dxa"/>
          </w:tcPr>
          <w:p>
            <w:pPr>
              <w:pStyle w:val="TableText"/>
            </w:pPr>
            <w:r>
              <w:rPr>
                <w:b/>
              </w:rPr>
              <w:t xml:space="preserve">Event</w:t>
            </w:r>
          </w:p>
        </w:tc>
      </w:tr>
      <w:tr>
        <w:tc>
          <w:tcPr>
            <w:tcW w:w="2400" w:type="dxa"/>
          </w:tcPr>
          <w:p>
            <w:pPr>
              <w:pStyle w:val="TableText"/>
            </w:pPr>
            <w:r>
              <w:t xml:space="preserve">c. 600–500 BCE </w:t>
            </w:r>
            <w:r>
              <w:rPr>
                <w:i/>
              </w:rPr>
              <w:t xml:space="preserve">(contested)</w:t>
            </w:r>
          </w:p>
        </w:tc>
        <w:tc>
          <w:tcPr>
            <w:tcW w:w="2400" w:type="dxa"/>
          </w:tcPr>
          <w:p>
            <w:pPr>
              <w:pStyle w:val="TableText"/>
            </w:pPr>
            <w:r>
              <w:t xml:space="preserve">Earliest 260-day count glyphs, Oaxaca — San José Mogote and Monte Albán. Zapotec, not Maya.</w:t>
            </w:r>
          </w:p>
        </w:tc>
      </w:tr>
      <w:tr>
        <w:tc>
          <w:tcPr>
            <w:tcW w:w="2400" w:type="dxa"/>
          </w:tcPr>
          <w:p>
            <w:pPr>
              <w:pStyle w:val="TableText"/>
            </w:pPr>
            <w:r>
              <w:t xml:space="preserve">36 / 32 BCE</w:t>
            </w:r>
          </w:p>
        </w:tc>
        <w:tc>
          <w:tcPr>
            <w:tcW w:w="2400" w:type="dxa"/>
          </w:tcPr>
          <w:p>
            <w:pPr>
              <w:pStyle w:val="TableText"/>
            </w:pPr>
            <w:r>
              <w:t xml:space="preserve">Chiapa de Corzo Stela 2 and Tres Zapotes Stela C, the earliest dated Long Counts. Both partly reconstructed.</w:t>
            </w:r>
          </w:p>
        </w:tc>
      </w:tr>
      <w:tr>
        <w:tc>
          <w:tcPr>
            <w:tcW w:w="2400" w:type="dxa"/>
          </w:tcPr>
          <w:p>
            <w:pPr>
              <w:pStyle w:val="TableText"/>
            </w:pPr>
            <w:r>
              <w:t xml:space="preserve">c. 250–900 CE</w:t>
            </w:r>
          </w:p>
        </w:tc>
        <w:tc>
          <w:tcPr>
            <w:tcW w:w="2400" w:type="dxa"/>
          </w:tcPr>
          <w:p>
            <w:pPr>
              <w:pStyle w:val="TableText"/>
            </w:pPr>
            <w:r>
              <w:t xml:space="preserve">Classic period: jaguar thrones, </w:t>
            </w:r>
            <w:r>
              <w:rPr>
                <w:i/>
              </w:rPr>
              <w:t xml:space="preserve">b'alam</w:t>
            </w:r>
            <w:r>
              <w:t xml:space="preserve"> royal names, and </w:t>
            </w:r>
            <w:r>
              <w:rPr>
                <w:i/>
              </w:rPr>
              <w:t xml:space="preserve">wahy</w:t>
            </w:r>
            <w:r>
              <w:t xml:space="preserve"> jaguars on funerary pottery.</w:t>
            </w:r>
          </w:p>
        </w:tc>
      </w:tr>
      <w:tr>
        <w:tc>
          <w:tcPr>
            <w:tcW w:w="2400" w:type="dxa"/>
          </w:tcPr>
          <w:p>
            <w:pPr>
              <w:pStyle w:val="TableText"/>
            </w:pPr>
            <w:r>
              <w:t xml:space="preserve">11th–12th c. CE </w:t>
            </w:r>
            <w:r>
              <w:rPr>
                <w:i/>
              </w:rPr>
              <w:t xml:space="preserve">(debated)</w:t>
            </w:r>
          </w:p>
        </w:tc>
        <w:tc>
          <w:tcPr>
            <w:tcW w:w="2400" w:type="dxa"/>
          </w:tcPr>
          <w:p>
            <w:pPr>
              <w:pStyle w:val="TableText"/>
            </w:pPr>
            <w:r>
              <w:t xml:space="preserve">The Dresden Codex copy, including new-year pages 25–28 with the K'an / Muluk / Ix / Kawak bearers.</w:t>
            </w:r>
          </w:p>
        </w:tc>
      </w:tr>
      <w:tr>
        <w:tc>
          <w:tcPr>
            <w:tcW w:w="2400" w:type="dxa"/>
          </w:tcPr>
          <w:p>
            <w:pPr>
              <w:pStyle w:val="TableText"/>
            </w:pPr>
            <w:r>
              <w:t xml:space="preserve">1562 / 1566</w:t>
            </w:r>
          </w:p>
        </w:tc>
        <w:tc>
          <w:tcPr>
            <w:tcW w:w="2400" w:type="dxa"/>
          </w:tcPr>
          <w:p>
            <w:pPr>
              <w:pStyle w:val="TableText"/>
            </w:pPr>
            <w:r>
              <w:t xml:space="preserve">Landa burns the books at Maní, then records the twenty day names and the Yucatec year bearers.</w:t>
            </w:r>
          </w:p>
        </w:tc>
      </w:tr>
      <w:tr>
        <w:tc>
          <w:tcPr>
            <w:tcW w:w="2400" w:type="dxa"/>
          </w:tcPr>
          <w:p>
            <w:pPr>
              <w:pStyle w:val="TableText"/>
            </w:pPr>
            <w:r>
              <w:t xml:space="preserve">1905–1935</w:t>
            </w:r>
          </w:p>
        </w:tc>
        <w:tc>
          <w:tcPr>
            <w:tcW w:w="2400" w:type="dxa"/>
          </w:tcPr>
          <w:p>
            <w:pPr>
              <w:pStyle w:val="TableText"/>
            </w:pPr>
            <w:r>
              <w:t xml:space="preserve">The Goodman–Martínez–Thompson correlation, constant 584283. Mainstream, not unanimous.</w:t>
            </w:r>
          </w:p>
        </w:tc>
      </w:tr>
      <w:tr>
        <w:tc>
          <w:tcPr>
            <w:tcW w:w="2400" w:type="dxa"/>
          </w:tcPr>
          <w:p>
            <w:pPr>
              <w:pStyle w:val="TableText"/>
            </w:pPr>
            <w:r>
              <w:t xml:space="preserve">11 Aug 3114 BCE</w:t>
            </w:r>
          </w:p>
        </w:tc>
        <w:tc>
          <w:tcPr>
            <w:tcW w:w="2400" w:type="dxa"/>
          </w:tcPr>
          <w:p>
            <w:pPr>
              <w:pStyle w:val="TableText"/>
            </w:pPr>
            <w:r>
              <w:t xml:space="preserve">Long Count zero under GMT 584283 (6 Sep 3114 BCE Julian); the 584285 variant gives 13 August.</w:t>
            </w:r>
          </w:p>
        </w:tc>
      </w:tr>
      <w:tr>
        <w:tc>
          <w:tcPr>
            <w:tcW w:w="2400" w:type="dxa"/>
          </w:tcPr>
          <w:p>
            <w:pPr>
              <w:pStyle w:val="TableText"/>
            </w:pPr>
            <w:r>
              <w:t xml:space="preserve">21 Dec 2012</w:t>
            </w:r>
          </w:p>
        </w:tc>
        <w:tc>
          <w:tcPr>
            <w:tcW w:w="2400" w:type="dxa"/>
          </w:tcPr>
          <w:p>
            <w:pPr>
              <w:pStyle w:val="TableText"/>
            </w:pPr>
            <w:r>
              <w:t xml:space="preserve">13.0.0.0.0, 4 Ajaw 3 K'ank'in — the anchor this site counts from.</w:t>
            </w:r>
          </w:p>
        </w:tc>
      </w:tr>
      <w:tr>
        <w:tc>
          <w:tcPr>
            <w:tcW w:w="2400" w:type="dxa"/>
          </w:tcPr>
          <w:p>
            <w:pPr>
              <w:pStyle w:val="TableText"/>
            </w:pPr>
            <w:r>
              <w:t xml:space="preserve">1995 / 1996</w:t>
            </w:r>
          </w:p>
        </w:tc>
        <w:tc>
          <w:tcPr>
            <w:tcW w:w="2400" w:type="dxa"/>
          </w:tcPr>
          <w:p>
            <w:pPr>
              <w:pStyle w:val="TableText"/>
            </w:pPr>
            <w:r>
              <w:t xml:space="preserve">Guatemala's Peace Accords recognise Maya spirituality and access to sacred places.</w:t>
            </w:r>
          </w:p>
        </w:tc>
      </w:tr>
    </w:tbl>
    <w:p/>
    <w:p>
      <w:pPr>
        <w:pStyle w:val="Heading2"/>
      </w:pPr>
      <w:r>
        <w:t xml:space="preserve">In the count</w:t>
      </w:r>
    </w:p>
    <w:p>
      <w:r>
        <w:t xml:space="preserve">Ix returns </w:t>
      </w:r>
      <w:r>
        <w:rPr>
          <w:b/>
        </w:rPr>
        <w:t xml:space="preserve">every twenty days</w:t>
      </w:r>
      <w:r>
        <w:t xml:space="preserve">, with a coefficient seven higher each time — twenty modulo thirteen is seven — running 7, 1, 8, 2, 9, 3, 10, 4, 11, 5, 12, 6, 13 before repeating. Thirteen appearances, </w:t>
      </w:r>
      <w:r>
        <w:rPr>
          <w:b/>
        </w:rPr>
        <w:t xml:space="preserve">260 days</w:t>
      </w:r>
      <w:r>
        <w:t xml:space="preserve">.</w:t>
      </w:r>
    </w:p>
    <w:p>
      <w:r>
        <w:t xml:space="preserve">Upcoming in 2026, on the site's GMT anchor: </w:t>
      </w:r>
      <w:r>
        <w:rPr>
          <w:b/>
        </w:rPr>
        <w:t xml:space="preserve">24 August (6 Ix)</w:t>
      </w:r>
      <w:r>
        <w:t xml:space="preserve">, </w:t>
      </w:r>
      <w:r>
        <w:rPr>
          <w:b/>
        </w:rPr>
        <w:t xml:space="preserve">13 September (13 Ix)</w:t>
      </w:r>
      <w:r>
        <w:t xml:space="preserve">, </w:t>
      </w:r>
      <w:r>
        <w:rPr>
          <w:b/>
        </w:rPr>
        <w:t xml:space="preserve">3 October (7 Ix)</w:t>
      </w:r>
      <w:r>
        <w:t xml:space="preserve">.</w:t>
      </w:r>
    </w:p>
    <w:p>
      <w:pPr>
        <w:pStyle w:val="Heading2"/>
      </w:pPr>
      <w:r>
        <w:t xml:space="preserve">Related</w:t>
      </w:r>
    </w:p>
    <w:p>
      <w:pPr>
        <w:pStyle w:val="ListParagraph"/>
        <w:numPr>
          <w:ilvl w:val="0"/>
          <w:numId w:val="1"/>
        </w:numPr>
      </w:pPr>
      <w:hyperlink r:id="rId136">
        <w:r>
          <w:rPr>
            <w:color w:val="1F4E79"/>
            <w:u w:val="single"/>
          </w:rPr>
          <w:t xml:space="preserve">Maya Tzolk'in</w:t>
        </w:r>
      </w:hyperlink>
      <w:r>
        <w:t xml:space="preserve"> — the system, the count, and what it is not.</w:t>
      </w:r>
    </w:p>
    <w:p>
      <w:pPr>
        <w:pStyle w:val="ListParagraph"/>
        <w:numPr>
          <w:ilvl w:val="0"/>
          <w:numId w:val="1"/>
        </w:numPr>
      </w:pPr>
      <w:hyperlink r:id="rId137">
        <w:r>
          <w:rPr>
            <w:color w:val="1F4E79"/>
            <w:u w:val="single"/>
          </w:rPr>
          <w:t xml:space="preserve">B'en</w:t>
        </w:r>
      </w:hyperlink>
      <w:r>
        <w:t xml:space="preserve"> — the day before.</w:t>
      </w:r>
    </w:p>
    <w:p>
      <w:pPr>
        <w:pStyle w:val="ListParagraph"/>
        <w:numPr>
          <w:ilvl w:val="0"/>
          <w:numId w:val="1"/>
        </w:numPr>
      </w:pPr>
      <w:hyperlink r:id="rId138">
        <w:r>
          <w:rPr>
            <w:color w:val="1F4E79"/>
            <w:u w:val="single"/>
          </w:rPr>
          <w:t xml:space="preserve">Men</w:t>
        </w:r>
      </w:hyperlink>
      <w:r>
        <w:t xml:space="preserve"> — the day after.</w:t>
      </w:r>
    </w:p>
    <w:p>
      <w:pPr>
        <w:pStyle w:val="ListParagraph"/>
        <w:numPr>
          <w:ilvl w:val="0"/>
          <w:numId w:val="1"/>
        </w:numPr>
      </w:pPr>
      <w:hyperlink r:id="rId139">
        <w:r>
          <w:rPr>
            <w:color w:val="1F4E79"/>
            <w:u w:val="single"/>
          </w:rPr>
          <w:t xml:space="preserve">World Zodiacs</w:t>
        </w:r>
      </w:hyperlink>
      <w:r>
        <w:t xml:space="preserve"> · </w:t>
      </w:r>
      <w:hyperlink r:id="rId140">
        <w:r>
          <w:rPr>
            <w:color w:val="1F4E79"/>
            <w:u w:val="single"/>
          </w:rPr>
          <w:t xml:space="preserve">Religion</w:t>
        </w:r>
      </w:hyperlink>
      <w:r>
        <w:t xml:space="preserve"> · </w:t>
      </w:r>
      <w:hyperlink r:id="rId141">
        <w:r>
          <w:rPr>
            <w:color w:val="1F4E79"/>
            <w:u w:val="single"/>
          </w:rPr>
          <w:t xml:space="preserve">Calendar</w:t>
        </w:r>
      </w:hyperlink>
    </w:p>
    <w:sectPr>
      <w:pgSz w:w="12240" w:h="15840"/>
      <w:pgMar w:top="1440" w:right="1440" w:bottom="1440" w:left="1440" w:header="720" w:footer="720" w:gutter="0"/>
    </w:sectPr>
  </w:body>
</w:document>
</file>

<file path=word/numbering.xml><?xml version="1.0" encoding="utf-8"?>
<w:numbering xmlns:w="http://schemas.openxmlformats.org/wordprocessingml/2006/main">
  <w:abstractNum w:abstractNumId="1">
    <w:multiLevelType w:val="hybridMultilevel"/>
    <w:lvl w:ilvl="0">
      <w:start w:val="1"/>
      <w:numFmt w:val="bullet"/>
      <w:lvlText w:val="•"/>
      <w:lvlJc w:val="left"/>
      <w:pPr>
        <w:ind w:left="720" w:hanging="360"/>
      </w:pPr>
    </w:lvl>
    <w:lvl w:ilvl="1">
      <w:start w:val="1"/>
      <w:numFmt w:val="bullet"/>
      <w:lvlText w:val="o"/>
      <w:lvlJc w:val="left"/>
      <w:pPr>
        <w:ind w:left="1080" w:hanging="360"/>
      </w:pPr>
    </w:lvl>
    <w:lvl w:ilvl="2">
      <w:start w:val="1"/>
      <w:numFmt w:val="bullet"/>
      <w:lvlText w:val="▪"/>
      <w:lvlJc w:val="left"/>
      <w:pPr>
        <w:ind w:left="1440" w:hanging="360"/>
      </w:pPr>
    </w:lvl>
    <w:lvl w:ilvl="3">
      <w:start w:val="1"/>
      <w:numFmt w:val="bullet"/>
      <w:lvlText w:val="•"/>
      <w:lvlJc w:val="left"/>
      <w:pPr>
        <w:ind w:left="1800" w:hanging="360"/>
      </w:pPr>
    </w:lvl>
  </w:abstractNum>
  <w:abstractNum w:abstractNumId="2">
    <w:multiLevelType w:val="hybridMultilevel"/>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abstractNum>
  <w:num w:numId="1">
    <w:abstractNumId w:val="1"/>
  </w:num>
  <w:num w:numId="2">
    <w:abstractNumId w:val="2"/>
  </w:num>
</w:numbering>
</file>

<file path=word/styles.xml><?xml version="1.0" encoding="utf-8"?>
<w:styles xmlns:w="http://schemas.openxmlformats.org/wordprocessingml/2006/main">
  <w:docDefaults>
    <w:rPrDefault>
      <w:rPr>
        <w:rFonts w:ascii="Calibri" w:hAnsi="Calibri"/>
        <w:sz w:val="22"/>
      </w:rPr>
    </w:rPrDefault>
    <w:pPrDefault>
      <w:pPr>
        <w:spacing w:after="140" w:line="276" w:lineRule="auto"/>
      </w:pPr>
    </w:pPrDefault>
  </w:docDefaults>
  <w:style w:type="paragraph" w:default="1" w:styleId="Normal">
    <w:name w:val="Normal"/>
    <w:qFormat/>
  </w:style>
  <w:style w:type="paragraph" w:styleId="Title">
    <w:name w:val="Title"/>
    <w:basedOn w:val="Normal"/>
    <w:qFormat/>
    <w:pPr>
      <w:spacing w:after="60"/>
    </w:pPr>
    <w:rPr>
      <w:rFonts w:ascii="Calibri Light" w:hAnsi="Calibri Light"/>
      <w:b/>
      <w:sz w:val="52"/>
    </w:rPr>
  </w:style>
  <w:style w:type="paragraph" w:styleId="Subtitle">
    <w:name w:val="Subtitle"/>
    <w:basedOn w:val="Normal"/>
    <w:qFormat/>
    <w:pPr>
      <w:spacing w:after="40"/>
    </w:pPr>
    <w:rPr>
      <w:color w:val="5A5A5A"/>
      <w:sz w:val="18"/>
    </w:rPr>
  </w:style>
  <w:style w:type="paragraph" w:styleId="Heading1">
    <w:name w:val="heading 1"/>
    <w:basedOn w:val="Normal"/>
    <w:next w:val="Normal"/>
    <w:qFormat/>
    <w:pPr>
      <w:outlineLvl w:val="0"/>
      <w:spacing w:before="320" w:after="120"/>
    </w:pPr>
    <w:rPr>
      <w:b/>
      <w:sz w:val="36"/>
    </w:rPr>
  </w:style>
  <w:style w:type="paragraph" w:styleId="Heading2">
    <w:name w:val="heading 2"/>
    <w:basedOn w:val="Normal"/>
    <w:next w:val="Normal"/>
    <w:qFormat/>
    <w:pPr>
      <w:outlineLvl w:val="1"/>
      <w:spacing w:before="260" w:after="100"/>
    </w:pPr>
    <w:rPr>
      <w:b/>
      <w:sz w:val="30"/>
    </w:rPr>
  </w:style>
  <w:style w:type="paragraph" w:styleId="Heading3">
    <w:name w:val="heading 3"/>
    <w:basedOn w:val="Normal"/>
    <w:next w:val="Normal"/>
    <w:qFormat/>
    <w:pPr>
      <w:outlineLvl w:val="2"/>
      <w:spacing w:before="220" w:after="80"/>
    </w:pPr>
    <w:rPr>
      <w:b/>
      <w:sz w:val="26"/>
    </w:rPr>
  </w:style>
  <w:style w:type="paragraph" w:styleId="Heading4">
    <w:name w:val="heading 4"/>
    <w:basedOn w:val="Normal"/>
    <w:next w:val="Normal"/>
    <w:qFormat/>
    <w:pPr>
      <w:outlineLvl w:val="3"/>
      <w:spacing w:before="200" w:after="80"/>
    </w:pPr>
    <w:rPr>
      <w:b/>
      <w:sz w:val="24"/>
    </w:rPr>
  </w:style>
  <w:style w:type="paragraph" w:styleId="Heading5">
    <w:name w:val="heading 5"/>
    <w:basedOn w:val="Normal"/>
    <w:next w:val="Normal"/>
    <w:qFormat/>
    <w:pPr>
      <w:outlineLvl w:val="4"/>
      <w:spacing w:before="180" w:after="60"/>
    </w:pPr>
    <w:rPr>
      <w:b/>
      <w:sz w:val="23"/>
    </w:rPr>
  </w:style>
  <w:style w:type="paragraph" w:styleId="Heading6">
    <w:name w:val="heading 6"/>
    <w:basedOn w:val="Normal"/>
    <w:next w:val="Normal"/>
    <w:qFormat/>
    <w:pPr>
      <w:outlineLvl w:val="5"/>
      <w:spacing w:before="160" w:after="60"/>
    </w:pPr>
    <w:rPr>
      <w:b/>
      <w:i/>
      <w:sz w:val="22"/>
    </w:rPr>
  </w:style>
  <w:style w:type="paragraph" w:styleId="Quote">
    <w:name w:val="Quote"/>
    <w:basedOn w:val="Normal"/>
    <w:qFormat/>
    <w:pPr>
      <w:ind w:left="480"/>
      <w:pBdr>
        <w:left w:val="single" w:sz="12" w:space="8" w:color="B0B0B0"/>
      </w:pBdr>
    </w:pPr>
    <w:rPr>
      <w:i/>
    </w:rPr>
  </w:style>
  <w:style w:type="paragraph" w:styleId="CodeBlock">
    <w:name w:val="Code Block"/>
    <w:basedOn w:val="Normal"/>
    <w:qFormat/>
    <w:pPr>
      <w:ind w:left="360"/>
      <w:spacing w:after="120" w:line="240" w:lineRule="auto"/>
      <w:shd w:val="clear" w:fill="F2F2F2"/>
    </w:pPr>
    <w:rPr>
      <w:rFonts w:ascii="Consolas" w:hAnsi="Consolas"/>
      <w:sz w:val="18"/>
    </w:rPr>
  </w:style>
  <w:style w:type="paragraph" w:styleId="ListParagraph">
    <w:name w:val="List Paragraph"/>
    <w:basedOn w:val="Normal"/>
    <w:qFormat/>
    <w:pPr>
      <w:ind w:left="720"/>
      <w:spacing w:after="60"/>
    </w:pPr>
  </w:style>
  <w:style w:type="paragraph" w:styleId="TableText">
    <w:name w:val="Table Text"/>
    <w:basedOn w:val="Normal"/>
    <w:pPr>
      <w:spacing w:after="40"/>
    </w:pPr>
    <w:rPr>
      <w:sz w:val="20"/>
    </w:rPr>
  </w:style>
  <w:style w:type="table" w:styleId="TableGrid">
    <w:name w:val="Table Grid"/>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60" w:type="dxa"/>
        <w:left w:w="100" w:type="dxa"/>
        <w:bottom w:w="60" w:type="dxa"/>
        <w:right w:w="100" w:type="dxa"/>
      </w:tblCellMar>
    </w:tbl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100" Type="http://schemas.openxmlformats.org/officeDocument/2006/relationships/hyperlink" Target="https://www.agoramores.com/culture/zodiac/maya/ix" TargetMode="External"/><Relationship Id="rId101" Type="http://schemas.openxmlformats.org/officeDocument/2006/relationships/hyperlink" Target="https://www.agoramores.com/tags/mesoamerica" TargetMode="External"/><Relationship Id="rId102" Type="http://schemas.openxmlformats.org/officeDocument/2006/relationships/hyperlink" Target="https://www.agoramores.com/culture/zodiac/maya" TargetMode="External"/><Relationship Id="rId103" Type="http://schemas.openxmlformats.org/officeDocument/2006/relationships/hyperlink" Target="https://www.agoramores.com/culture/zodiac/maya/ajaw" TargetMode="External"/><Relationship Id="rId104" Type="http://schemas.openxmlformats.org/officeDocument/2006/relationships/hyperlink" Target="https://www.agoramores.com/culture/zodiac/maya/akbal" TargetMode="External"/><Relationship Id="rId105" Type="http://schemas.openxmlformats.org/officeDocument/2006/relationships/hyperlink" Target="https://www.agoramores.com/culture/zodiac/maya/ben" TargetMode="External"/><Relationship Id="rId106" Type="http://schemas.openxmlformats.org/officeDocument/2006/relationships/hyperlink" Target="https://www.agoramores.com/culture/zodiac/maya/chikchan" TargetMode="External"/><Relationship Id="rId107" Type="http://schemas.openxmlformats.org/officeDocument/2006/relationships/hyperlink" Target="https://www.agoramores.com/culture/zodiac/maya/chuwen" TargetMode="External"/><Relationship Id="rId108" Type="http://schemas.openxmlformats.org/officeDocument/2006/relationships/hyperlink" Target="https://www.agoramores.com/tags/maya" TargetMode="External"/><Relationship Id="rId109" Type="http://schemas.openxmlformats.org/officeDocument/2006/relationships/hyperlink" Target="https://www.agoramores.com/culture/zodiac/maya/eb" TargetMode="External"/><Relationship Id="rId110" Type="http://schemas.openxmlformats.org/officeDocument/2006/relationships/hyperlink" Target="https://www.agoramores.com/culture/zodiac/maya/ik" TargetMode="External"/><Relationship Id="rId111" Type="http://schemas.openxmlformats.org/officeDocument/2006/relationships/hyperlink" Target="https://www.agoramores.com/culture/zodiac/maya/imix" TargetMode="External"/><Relationship Id="rId112" Type="http://schemas.openxmlformats.org/officeDocument/2006/relationships/hyperlink" Target="https://www.agoramores.com/culture/zodiac/maya/kan" TargetMode="External"/><Relationship Id="rId113" Type="http://schemas.openxmlformats.org/officeDocument/2006/relationships/hyperlink" Target="https://www.agoramores.com/culture/zodiac/maya/kib" TargetMode="External"/><Relationship Id="rId114" Type="http://schemas.openxmlformats.org/officeDocument/2006/relationships/hyperlink" Target="https://www.agoramores.com/culture/zodiac/maya/kaban" TargetMode="External"/><Relationship Id="rId115" Type="http://schemas.openxmlformats.org/officeDocument/2006/relationships/hyperlink" Target="https://www.agoramores.com/tags/tzolkin" TargetMode="External"/><Relationship Id="rId116" Type="http://schemas.openxmlformats.org/officeDocument/2006/relationships/hyperlink" Target="https://www.agoramores.com/culture/zodiac/maya/kawak" TargetMode="External"/><Relationship Id="rId117" Type="http://schemas.openxmlformats.org/officeDocument/2006/relationships/hyperlink" Target="https://www.agoramores.com/culture/zodiac/maya/manik" TargetMode="External"/><Relationship Id="rId118" Type="http://schemas.openxmlformats.org/officeDocument/2006/relationships/hyperlink" Target="https://www.agoramores.com/culture/zodiac/maya/ok" TargetMode="External"/><Relationship Id="rId119" Type="http://schemas.openxmlformats.org/officeDocument/2006/relationships/hyperlink" Target="https://www.agoramores.com/culture/zodiac/maya/etznab" TargetMode="External"/><Relationship Id="rId120" Type="http://schemas.openxmlformats.org/officeDocument/2006/relationships/hyperlink" Target="https://www.agoramores.com/culture/zodiac/maya/kimi" TargetMode="External"/><Relationship Id="rId121" Type="http://schemas.openxmlformats.org/officeDocument/2006/relationships/hyperlink" Target="https://www.agoramores.com/culture/zodiac/maya/lamat" TargetMode="External"/><Relationship Id="rId122" Type="http://schemas.openxmlformats.org/officeDocument/2006/relationships/hyperlink" Target="https://www.agoramores.com/tags/zodiac" TargetMode="External"/><Relationship Id="rId123" Type="http://schemas.openxmlformats.org/officeDocument/2006/relationships/hyperlink" Target="https://www.agoramores.com/culture/zodiac" TargetMode="External"/><Relationship Id="rId124" Type="http://schemas.openxmlformats.org/officeDocument/2006/relationships/hyperlink" Target="https://www.agoramores.com/culture/zodiac/western" TargetMode="External"/><Relationship Id="rId125" Type="http://schemas.openxmlformats.org/officeDocument/2006/relationships/hyperlink" Target="https://www.agoramores.com/culture/zodiac/western/capricorn" TargetMode="External"/><Relationship Id="rId126" Type="http://schemas.openxmlformats.org/officeDocument/2006/relationships/hyperlink" Target="https://www.agoramores.com/culture/zodiac/western/aquarius" TargetMode="External"/><Relationship Id="rId127" Type="http://schemas.openxmlformats.org/officeDocument/2006/relationships/hyperlink" Target="https://www.agoramores.com/culture/zodiac/celtic" TargetMode="External"/><Relationship Id="rId128" Type="http://schemas.openxmlformats.org/officeDocument/2006/relationships/hyperlink" Target="https://www.agoramores.com/culture/zodiac/vedic" TargetMode="External"/><Relationship Id="rId129" Type="http://schemas.openxmlformats.org/officeDocument/2006/relationships/hyperlink" Target="https://www.agoramores.com/tags/culture" TargetMode="External"/><Relationship Id="rId130" Type="http://schemas.openxmlformats.org/officeDocument/2006/relationships/hyperlink" Target="https://www.agoramores.com/culture/languages" TargetMode="External"/><Relationship Id="rId131" Type="http://schemas.openxmlformats.org/officeDocument/2006/relationships/hyperlink" Target="https://www.agoramores.com/culture" TargetMode="External"/><Relationship Id="rId132" Type="http://schemas.openxmlformats.org/officeDocument/2006/relationships/hyperlink" Target="https://www.agoramores.com/culture/diaspora/arabic-speaking" TargetMode="External"/><Relationship Id="rId133" Type="http://schemas.openxmlformats.org/officeDocument/2006/relationships/hyperlink" Target="https://www.agoramores.com/culture/diaspora/english-speaking" TargetMode="External"/><Relationship Id="rId134" Type="http://schemas.openxmlformats.org/officeDocument/2006/relationships/hyperlink" Target="https://www.agoramores.com/culture/diaspora/bhutanese-nepali-americans" TargetMode="External"/><Relationship Id="rId135" Type="http://schemas.openxmlformats.org/officeDocument/2006/relationships/hyperlink" Target="https://www.agoramores.com/culture/diaspora/somali-speaking" TargetMode="External"/><Relationship Id="rId136" Type="http://schemas.openxmlformats.org/officeDocument/2006/relationships/hyperlink" Target="https://www.agoramores.com/culture/zodiac/maya/portal" TargetMode="External"/><Relationship Id="rId137" Type="http://schemas.openxmlformats.org/officeDocument/2006/relationships/hyperlink" Target="https://www.agoramores.com/culture/zodiac/maya/ben" TargetMode="External"/><Relationship Id="rId138" Type="http://schemas.openxmlformats.org/officeDocument/2006/relationships/hyperlink" Target="https://www.agoramores.com/culture/zodiac/maya/men" TargetMode="External"/><Relationship Id="rId139" Type="http://schemas.openxmlformats.org/officeDocument/2006/relationships/hyperlink" Target="https://www.agoramores.com/culture/zodiac/portal" TargetMode="External"/><Relationship Id="rId140" Type="http://schemas.openxmlformats.org/officeDocument/2006/relationships/hyperlink" Target="https://www.agoramores.com/religion/portal" TargetMode="External"/><Relationship Id="rId141" Type="http://schemas.openxmlformats.org/officeDocument/2006/relationships/hyperlink" Target="https://www.agoramores.com/calendar/portal" TargetMode="External"/>
</Relationships>
</file>

<file path=docProps/core.xml><?xml version="1.0" encoding="utf-8"?>
<cp:coreProperties xmlns:cp="http://schemas.openxmlformats.org/package/2006/metadata/core-properties" xmlns:dc="http://purl.org/dc/elements/1.1/" xmlns:dcterms="http://purl.org/dc/terms/" xmlns:xsi="http://www.w3.org/2001/XMLSchema-instance">
  <dc:title>Ix</dc:title>
  <dc:creator>Agoramores</dc:creator>
  <cp:keywords>culture, zodiac, tzolkin, maya, mesoamerica</cp:keywords>
  <dcterms:created xsi:type="dcterms:W3CDTF">2026-08-21T01:08:26Z</dcterms:created>
</cp:coreProperties>
</file>