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Eb'</w:t>
      </w:r>
    </w:p>
    <w:p>
      <w:pPr>
        <w:pStyle w:val="Subtitle"/>
      </w:pPr>
      <w:hyperlink r:id="rId100">
        <w:r>
          <w:rPr>
            <w:color w:val="1F4E79"/>
            <w:u w:val="single"/>
          </w:rPr>
          <w:t xml:space="preserve">https://www.agoramores.com/culture/zodiac/maya/eb</w:t>
        </w:r>
      </w:hyperlink>
    </w:p>
    <w:p>
      <w:pPr>
        <w:pStyle w:val="Subtitle"/>
      </w:pPr>
      <w:r>
        <w:t xml:space="preserve">Tags: culture · zodiac · tzolkin · maya · mesoamerica</w:t>
      </w:r>
    </w:p>
    <w:p>
      <w:pPr>
        <w:pBdr>
          <w:bottom w:val="single" w:sz="6" w:space="1" w:color="808080"/>
        </w:pBdr>
      </w:pPr>
    </w:p>
    <w:p>
      <w:pPr>
        <w:pStyle w:val="Heading1"/>
      </w:pPr>
      <w:r>
        <w:t xml:space="preserve">Related</w:t>
      </w:r>
    </w:p>
    <w:p>
      <w:pPr>
        <w:pStyle w:val="Heading2"/>
      </w:pPr>
      <w:hyperlink r:id="rId101">
        <w:r>
          <w:rPr>
            <w:color w:val="1F4E79"/>
            <w:u w:val="single"/>
          </w:rPr>
          <w:t xml:space="preserve">mesoamerica</w:t>
        </w:r>
      </w:hyperlink>
    </w:p>
    <w:p>
      <w:pPr>
        <w:pStyle w:val="ListParagraph"/>
        <w:numPr>
          <w:ilvl w:val="0"/>
          <w:numId w:val="1"/>
        </w:numPr>
      </w:pPr>
      <w:hyperlink r:id="rId102">
        <w:r>
          <w:rPr>
            <w:color w:val="1F4E79"/>
            <w:u w:val="single"/>
          </w:rPr>
          <w:t xml:space="preserve">maya</w:t>
        </w:r>
      </w:hyperlink>
    </w:p>
    <w:p>
      <w:pPr>
        <w:pStyle w:val="ListParagraph"/>
        <w:numPr>
          <w:ilvl w:val="0"/>
          <w:numId w:val="1"/>
        </w:numPr>
      </w:pPr>
      <w:hyperlink r:id="rId103">
        <w:r>
          <w:rPr>
            <w:color w:val="1F4E79"/>
            <w:u w:val="single"/>
          </w:rPr>
          <w:t xml:space="preserve">Ajaw</w:t>
        </w:r>
      </w:hyperlink>
    </w:p>
    <w:p>
      <w:pPr>
        <w:pStyle w:val="ListParagraph"/>
        <w:numPr>
          <w:ilvl w:val="0"/>
          <w:numId w:val="1"/>
        </w:numPr>
      </w:pPr>
      <w:hyperlink r:id="rId104">
        <w:r>
          <w:rPr>
            <w:color w:val="1F4E79"/>
            <w:u w:val="single"/>
          </w:rPr>
          <w:t xml:space="preserve">Ak'b'al</w:t>
        </w:r>
      </w:hyperlink>
    </w:p>
    <w:p>
      <w:pPr>
        <w:pStyle w:val="ListParagraph"/>
        <w:numPr>
          <w:ilvl w:val="0"/>
          <w:numId w:val="1"/>
        </w:numPr>
      </w:pPr>
      <w:hyperlink r:id="rId105">
        <w:r>
          <w:rPr>
            <w:color w:val="1F4E79"/>
            <w:u w:val="single"/>
          </w:rPr>
          <w:t xml:space="preserve">B'en</w:t>
        </w:r>
      </w:hyperlink>
    </w:p>
    <w:p>
      <w:pPr>
        <w:pStyle w:val="ListParagraph"/>
        <w:numPr>
          <w:ilvl w:val="0"/>
          <w:numId w:val="1"/>
        </w:numPr>
      </w:pPr>
      <w:hyperlink r:id="rId106">
        <w:r>
          <w:rPr>
            <w:color w:val="1F4E79"/>
            <w:u w:val="single"/>
          </w:rPr>
          <w:t xml:space="preserve">Chikchan</w:t>
        </w:r>
      </w:hyperlink>
    </w:p>
    <w:p>
      <w:pPr>
        <w:pStyle w:val="ListParagraph"/>
        <w:numPr>
          <w:ilvl w:val="0"/>
          <w:numId w:val="1"/>
        </w:numPr>
      </w:pPr>
      <w:hyperlink r:id="rId107">
        <w:r>
          <w:rPr>
            <w:color w:val="1F4E79"/>
            <w:u w:val="single"/>
          </w:rPr>
          <w:t xml:space="preserve">Chuwen</w:t>
        </w:r>
      </w:hyperlink>
    </w:p>
    <w:p>
      <w:pPr>
        <w:pStyle w:val="Heading2"/>
      </w:pPr>
      <w:hyperlink r:id="rId108">
        <w:r>
          <w:rPr>
            <w:color w:val="1F4E79"/>
            <w:u w:val="single"/>
          </w:rPr>
          <w:t xml:space="preserve">maya</w:t>
        </w:r>
      </w:hyperlink>
    </w:p>
    <w:p>
      <w:pPr>
        <w:pStyle w:val="ListParagraph"/>
        <w:numPr>
          <w:ilvl w:val="0"/>
          <w:numId w:val="1"/>
        </w:numPr>
      </w:pPr>
      <w:hyperlink r:id="rId109">
        <w:r>
          <w:rPr>
            <w:color w:val="1F4E79"/>
            <w:u w:val="single"/>
          </w:rPr>
          <w:t xml:space="preserve">Ik'</w:t>
        </w:r>
      </w:hyperlink>
    </w:p>
    <w:p>
      <w:pPr>
        <w:pStyle w:val="ListParagraph"/>
        <w:numPr>
          <w:ilvl w:val="0"/>
          <w:numId w:val="1"/>
        </w:numPr>
      </w:pPr>
      <w:hyperlink r:id="rId110">
        <w:r>
          <w:rPr>
            <w:color w:val="1F4E79"/>
            <w:u w:val="single"/>
          </w:rPr>
          <w:t xml:space="preserve">Imix</w:t>
        </w:r>
      </w:hyperlink>
    </w:p>
    <w:p>
      <w:pPr>
        <w:pStyle w:val="ListParagraph"/>
        <w:numPr>
          <w:ilvl w:val="0"/>
          <w:numId w:val="1"/>
        </w:numPr>
      </w:pPr>
      <w:hyperlink r:id="rId111">
        <w:r>
          <w:rPr>
            <w:color w:val="1F4E79"/>
            <w:u w:val="single"/>
          </w:rPr>
          <w:t xml:space="preserve">Ix</w:t>
        </w:r>
      </w:hyperlink>
    </w:p>
    <w:p>
      <w:pPr>
        <w:pStyle w:val="ListParagraph"/>
        <w:numPr>
          <w:ilvl w:val="0"/>
          <w:numId w:val="1"/>
        </w:numPr>
      </w:pPr>
      <w:hyperlink r:id="rId112">
        <w:r>
          <w:rPr>
            <w:color w:val="1F4E79"/>
            <w:u w:val="single"/>
          </w:rPr>
          <w:t xml:space="preserve">K'an</w:t>
        </w:r>
      </w:hyperlink>
    </w:p>
    <w:p>
      <w:pPr>
        <w:pStyle w:val="ListParagraph"/>
        <w:numPr>
          <w:ilvl w:val="0"/>
          <w:numId w:val="1"/>
        </w:numPr>
      </w:pPr>
      <w:hyperlink r:id="rId113">
        <w:r>
          <w:rPr>
            <w:color w:val="1F4E79"/>
            <w:u w:val="single"/>
          </w:rPr>
          <w:t xml:space="preserve">K'ib'</w:t>
        </w:r>
      </w:hyperlink>
    </w:p>
    <w:p>
      <w:pPr>
        <w:pStyle w:val="ListParagraph"/>
        <w:numPr>
          <w:ilvl w:val="0"/>
          <w:numId w:val="1"/>
        </w:numPr>
      </w:pPr>
      <w:hyperlink r:id="rId114">
        <w:r>
          <w:rPr>
            <w:color w:val="1F4E79"/>
            <w:u w:val="single"/>
          </w:rPr>
          <w:t xml:space="preserve">Kab'an</w:t>
        </w:r>
      </w:hyperlink>
    </w:p>
    <w:p>
      <w:pPr>
        <w:pStyle w:val="Heading2"/>
      </w:pPr>
      <w:hyperlink r:id="rId115">
        <w:r>
          <w:rPr>
            <w:color w:val="1F4E79"/>
            <w:u w:val="single"/>
          </w:rPr>
          <w:t xml:space="preserve">tzolkin</w:t>
        </w:r>
      </w:hyperlink>
    </w:p>
    <w:p>
      <w:pPr>
        <w:pStyle w:val="ListParagraph"/>
        <w:numPr>
          <w:ilvl w:val="0"/>
          <w:numId w:val="1"/>
        </w:numPr>
      </w:pPr>
      <w:hyperlink r:id="rId116">
        <w:r>
          <w:rPr>
            <w:color w:val="1F4E79"/>
            <w:u w:val="single"/>
          </w:rPr>
          <w:t xml:space="preserve">Kawak</w:t>
        </w:r>
      </w:hyperlink>
    </w:p>
    <w:p>
      <w:pPr>
        <w:pStyle w:val="ListParagraph"/>
        <w:numPr>
          <w:ilvl w:val="0"/>
          <w:numId w:val="1"/>
        </w:numPr>
      </w:pPr>
      <w:hyperlink r:id="rId117">
        <w:r>
          <w:rPr>
            <w:color w:val="1F4E79"/>
            <w:u w:val="single"/>
          </w:rPr>
          <w:t xml:space="preserve">Manik'</w:t>
        </w:r>
      </w:hyperlink>
    </w:p>
    <w:p>
      <w:pPr>
        <w:pStyle w:val="ListParagraph"/>
        <w:numPr>
          <w:ilvl w:val="0"/>
          <w:numId w:val="1"/>
        </w:numPr>
      </w:pPr>
      <w:hyperlink r:id="rId118">
        <w:r>
          <w:rPr>
            <w:color w:val="1F4E79"/>
            <w:u w:val="single"/>
          </w:rPr>
          <w:t xml:space="preserve">Ok</w:t>
        </w:r>
      </w:hyperlink>
    </w:p>
    <w:p>
      <w:pPr>
        <w:pStyle w:val="ListParagraph"/>
        <w:numPr>
          <w:ilvl w:val="0"/>
          <w:numId w:val="1"/>
        </w:numPr>
      </w:pPr>
      <w:hyperlink r:id="rId119">
        <w:r>
          <w:rPr>
            <w:color w:val="1F4E79"/>
            <w:u w:val="single"/>
          </w:rPr>
          <w:t xml:space="preserve">Etz'nab'</w:t>
        </w:r>
      </w:hyperlink>
    </w:p>
    <w:p>
      <w:pPr>
        <w:pStyle w:val="ListParagraph"/>
        <w:numPr>
          <w:ilvl w:val="0"/>
          <w:numId w:val="1"/>
        </w:numPr>
      </w:pPr>
      <w:hyperlink r:id="rId120">
        <w:r>
          <w:rPr>
            <w:color w:val="1F4E79"/>
            <w:u w:val="single"/>
          </w:rPr>
          <w:t xml:space="preserve">Kimi</w:t>
        </w:r>
      </w:hyperlink>
    </w:p>
    <w:p>
      <w:pPr>
        <w:pStyle w:val="ListParagraph"/>
        <w:numPr>
          <w:ilvl w:val="0"/>
          <w:numId w:val="1"/>
        </w:numPr>
      </w:pPr>
      <w:hyperlink r:id="rId121">
        <w:r>
          <w:rPr>
            <w:color w:val="1F4E79"/>
            <w:u w:val="single"/>
          </w:rPr>
          <w:t xml:space="preserve">Lamat</w:t>
        </w:r>
      </w:hyperlink>
    </w:p>
    <w:p>
      <w:pPr>
        <w:pStyle w:val="Heading2"/>
      </w:pPr>
      <w:hyperlink r:id="rId122">
        <w:r>
          <w:rPr>
            <w:color w:val="1F4E79"/>
            <w:u w:val="single"/>
          </w:rPr>
          <w:t xml:space="preserve">zodiac</w:t>
        </w:r>
      </w:hyperlink>
    </w:p>
    <w:p>
      <w:pPr>
        <w:pStyle w:val="ListParagraph"/>
        <w:numPr>
          <w:ilvl w:val="0"/>
          <w:numId w:val="1"/>
        </w:numPr>
      </w:pPr>
      <w:hyperlink r:id="rId123">
        <w:r>
          <w:rPr>
            <w:color w:val="1F4E79"/>
            <w:u w:val="single"/>
          </w:rPr>
          <w:t xml:space="preserve">zodiac</w:t>
        </w:r>
      </w:hyperlink>
    </w:p>
    <w:p>
      <w:pPr>
        <w:pStyle w:val="ListParagraph"/>
        <w:numPr>
          <w:ilvl w:val="0"/>
          <w:numId w:val="1"/>
        </w:numPr>
      </w:pPr>
      <w:hyperlink r:id="rId124">
        <w:r>
          <w:rPr>
            <w:color w:val="1F4E79"/>
            <w:u w:val="single"/>
          </w:rPr>
          <w:t xml:space="preserve">western</w:t>
        </w:r>
      </w:hyperlink>
    </w:p>
    <w:p>
      <w:pPr>
        <w:pStyle w:val="ListParagraph"/>
        <w:numPr>
          <w:ilvl w:val="0"/>
          <w:numId w:val="1"/>
        </w:numPr>
      </w:pPr>
      <w:hyperlink r:id="rId125">
        <w:r>
          <w:rPr>
            <w:color w:val="1F4E79"/>
            <w:u w:val="single"/>
          </w:rPr>
          <w:t xml:space="preserve">Capricorn</w:t>
        </w:r>
      </w:hyperlink>
    </w:p>
    <w:p>
      <w:pPr>
        <w:pStyle w:val="ListParagraph"/>
        <w:numPr>
          <w:ilvl w:val="0"/>
          <w:numId w:val="1"/>
        </w:numPr>
      </w:pPr>
      <w:hyperlink r:id="rId126">
        <w:r>
          <w:rPr>
            <w:color w:val="1F4E79"/>
            <w:u w:val="single"/>
          </w:rPr>
          <w:t xml:space="preserve">Aquarius</w:t>
        </w:r>
      </w:hyperlink>
    </w:p>
    <w:p>
      <w:pPr>
        <w:pStyle w:val="ListParagraph"/>
        <w:numPr>
          <w:ilvl w:val="0"/>
          <w:numId w:val="1"/>
        </w:numPr>
      </w:pPr>
      <w:hyperlink r:id="rId127">
        <w:r>
          <w:rPr>
            <w:color w:val="1F4E79"/>
            <w:u w:val="single"/>
          </w:rPr>
          <w:t xml:space="preserve">celtic</w:t>
        </w:r>
      </w:hyperlink>
    </w:p>
    <w:p>
      <w:pPr>
        <w:pStyle w:val="ListParagraph"/>
        <w:numPr>
          <w:ilvl w:val="0"/>
          <w:numId w:val="1"/>
        </w:numPr>
      </w:pPr>
      <w:hyperlink r:id="rId128">
        <w:r>
          <w:rPr>
            <w:color w:val="1F4E79"/>
            <w:u w:val="single"/>
          </w:rPr>
          <w:t xml:space="preserve">vedic</w:t>
        </w:r>
      </w:hyperlink>
    </w:p>
    <w:p>
      <w:pPr>
        <w:pStyle w:val="Heading2"/>
      </w:pPr>
      <w:hyperlink r:id="rId129">
        <w:r>
          <w:rPr>
            <w:color w:val="1F4E79"/>
            <w:u w:val="single"/>
          </w:rPr>
          <w:t xml:space="preserve">culture</w:t>
        </w:r>
      </w:hyperlink>
    </w:p>
    <w:p>
      <w:pPr>
        <w:pStyle w:val="ListParagraph"/>
        <w:numPr>
          <w:ilvl w:val="0"/>
          <w:numId w:val="1"/>
        </w:numPr>
      </w:pPr>
      <w:hyperlink r:id="rId130">
        <w:r>
          <w:rPr>
            <w:color w:val="1F4E79"/>
            <w:u w:val="single"/>
          </w:rPr>
          <w:t xml:space="preserve">languages</w:t>
        </w:r>
      </w:hyperlink>
    </w:p>
    <w:p>
      <w:pPr>
        <w:pStyle w:val="ListParagraph"/>
        <w:numPr>
          <w:ilvl w:val="0"/>
          <w:numId w:val="1"/>
        </w:numPr>
      </w:pPr>
      <w:hyperlink r:id="rId131">
        <w:r>
          <w:rPr>
            <w:color w:val="1F4E79"/>
            <w:u w:val="single"/>
          </w:rPr>
          <w:t xml:space="preserve">culture</w:t>
        </w:r>
      </w:hyperlink>
    </w:p>
    <w:p>
      <w:pPr>
        <w:pStyle w:val="ListParagraph"/>
        <w:numPr>
          <w:ilvl w:val="0"/>
          <w:numId w:val="1"/>
        </w:numPr>
      </w:pPr>
      <w:hyperlink r:id="rId132">
        <w:r>
          <w:rPr>
            <w:color w:val="1F4E79"/>
            <w:u w:val="single"/>
          </w:rPr>
          <w:t xml:space="preserve">Arabic Speaking</w:t>
        </w:r>
      </w:hyperlink>
    </w:p>
    <w:p>
      <w:pPr>
        <w:pStyle w:val="ListParagraph"/>
        <w:numPr>
          <w:ilvl w:val="0"/>
          <w:numId w:val="1"/>
        </w:numPr>
      </w:pPr>
      <w:hyperlink r:id="rId133">
        <w:r>
          <w:rPr>
            <w:color w:val="1F4E79"/>
            <w:u w:val="single"/>
          </w:rPr>
          <w:t xml:space="preserve">English Speaking</w:t>
        </w:r>
      </w:hyperlink>
    </w:p>
    <w:p>
      <w:pPr>
        <w:pStyle w:val="ListParagraph"/>
        <w:numPr>
          <w:ilvl w:val="0"/>
          <w:numId w:val="1"/>
        </w:numPr>
      </w:pPr>
      <w:hyperlink r:id="rId134">
        <w:r>
          <w:rPr>
            <w:color w:val="1F4E79"/>
            <w:u w:val="single"/>
          </w:rPr>
          <w:t xml:space="preserve">Bhutanese Nepali Americans</w:t>
        </w:r>
      </w:hyperlink>
    </w:p>
    <w:p>
      <w:pPr>
        <w:pStyle w:val="ListParagraph"/>
        <w:numPr>
          <w:ilvl w:val="0"/>
          <w:numId w:val="1"/>
        </w:numPr>
      </w:pPr>
      <w:hyperlink r:id="rId135">
        <w:r>
          <w:rPr>
            <w:color w:val="1F4E79"/>
            <w:u w:val="single"/>
          </w:rPr>
          <w:t xml:space="preserve">Somali Speaking</w:t>
        </w:r>
      </w:hyperlink>
    </w:p>
    <w:p>
      <w:pPr>
        <w:pStyle w:val="Heading1"/>
      </w:pPr>
      <w:r>
        <w:t xml:space="preserve">Eb'</w:t>
      </w:r>
    </w:p>
    <w:p>
      <w:r>
        <w:rPr>
          <w:b/>
        </w:rPr>
        <w:t xml:space="preserve">Twelfth of the twenty.</w:t>
      </w:r>
      <w:r>
        <w:t xml:space="preserve"> Yucatec </w:t>
      </w:r>
      <w:r>
        <w:rPr>
          <w:b/>
        </w:rPr>
        <w:t xml:space="preserve">Eb'</w:t>
      </w:r>
      <w:r>
        <w:t xml:space="preserve">; K'iche' </w:t>
      </w:r>
      <w:r>
        <w:rPr>
          <w:b/>
        </w:rPr>
        <w:t xml:space="preserve">E</w:t>
      </w:r>
      <w:r>
        <w:t xml:space="preserve">. The Classic sign is a head variant, often drawn with a fleshless or grinning jaw and a distinctive element above the brow. Its meaning is among the least settled in the inventory: </w:t>
      </w:r>
      <w:r>
        <w:rPr>
          <w:i/>
        </w:rPr>
        <w:t xml:space="preserve">tooth</w:t>
      </w:r>
      <w:r>
        <w:t xml:space="preserve">, </w:t>
      </w:r>
      <w:r>
        <w:rPr>
          <w:i/>
        </w:rPr>
        <w:t xml:space="preserve">staircase</w:t>
      </w:r>
      <w:r>
        <w:t xml:space="preserve">, </w:t>
      </w:r>
      <w:r>
        <w:rPr>
          <w:i/>
        </w:rPr>
        <w:t xml:space="preserve">dew</w:t>
      </w:r>
      <w:r>
        <w:t xml:space="preserve"> or </w:t>
      </w:r>
      <w:r>
        <w:rPr>
          <w:i/>
        </w:rPr>
        <w:t xml:space="preserve">mist</w:t>
      </w:r>
      <w:r>
        <w:t xml:space="preserve">, and </w:t>
      </w:r>
      <w:r>
        <w:rPr>
          <w:i/>
        </w:rPr>
        <w:t xml:space="preserve">grass</w:t>
      </w:r>
      <w:r>
        <w:t xml:space="preserve"> have all been proposed, none has won, and the site's tooltip takes the reading current in the highlands — </w:t>
      </w:r>
      <w:r>
        <w:rPr>
          <w:b/>
        </w:rPr>
        <w:t xml:space="preserve">the road of destiny</w:t>
      </w:r>
      <w:r>
        <w:t xml:space="preserve">. Direction south, colour yellow.</w:t>
      </w:r>
    </w:p>
    <w:p>
      <w:r>
        <w:t xml:space="preserve">The road reading comes from K'iche' </w:t>
      </w:r>
      <w:r>
        <w:rPr>
          <w:i/>
        </w:rPr>
        <w:t xml:space="preserve">E</w:t>
      </w:r>
      <w:r>
        <w:t xml:space="preserve">, "path". The Aztec cognate at this position is </w:t>
      </w:r>
      <w:r>
        <w:rPr>
          <w:b/>
        </w:rPr>
        <w:t xml:space="preserve">Malinalli</w:t>
      </w:r>
      <w:r>
        <w:t xml:space="preserve">, twisted grass, whose patron is Patecatl, and the twisting of grass into cord is not far from the twisting of a path across a hillside — but the connection is suggestive, not demonstrated.</w:t>
      </w:r>
    </w:p>
    <w:p>
      <w:pPr>
        <w:pStyle w:val="Heading2"/>
      </w:pPr>
      <w:r>
        <w:t xml:space="preserve">Religion and daykeeping</w:t>
      </w:r>
    </w:p>
    <w:p>
      <w:r>
        <w:t xml:space="preserve">In </w:t>
      </w:r>
      <w:r>
        <w:rPr>
          <w:b/>
        </w:rPr>
        <w:t xml:space="preserve">living highland practice</w:t>
      </w:r>
      <w:r>
        <w:t xml:space="preserve">, E is the road, and the road means both the physical journey and the course of a life. Ethnographic accounts and Guatemalan Maya organisations describe it as the day for travel and travellers, for merchants and for anyone setting out; for guidance and for guides; and for asking what a person's path is — which is a question daykeepers are asked about children in particular. An </w:t>
      </w:r>
      <w:r>
        <w:rPr>
          <w:i/>
        </w:rPr>
        <w:t xml:space="preserve">ajq'ij</w:t>
      </w:r>
      <w:r>
        <w:t xml:space="preserve"> born on E is spoken of as a guide, someone others follow or consult before deciding, with a tendency to be always in motion. Petitions for safe passage and for direction are among the most common made on it. Which shrine and which words belong to the apprenticeship, not to a public page, and communities differ.</w:t>
      </w:r>
    </w:p>
    <w:p>
      <w:r>
        <w:t xml:space="preserve">E is one of the four </w:t>
      </w:r>
      <w:r>
        <w:rPr>
          <w:b/>
        </w:rPr>
        <w:t xml:space="preserve">year bearers</w:t>
      </w:r>
      <w:r>
        <w:t xml:space="preserve">, the </w:t>
      </w:r>
      <w:r>
        <w:rPr>
          <w:i/>
        </w:rPr>
        <w:t xml:space="preserve">Mam</w:t>
      </w:r>
      <w:r>
        <w:t xml:space="preserve">, in the Guatemalan highlands today — with Kej, No'j and Iq'. Because 365 leaves a remainder of five on division by twenty, the four bearers must stand five apart in the list, and E does: Ik' at 2, Manik' at 7, Eb' at 12, Kab'an at 17. Landa's sixteenth-century Yucatec set was a different one, K'an, Muluk, Ix and Kawak, and a third set of Ak'b'al, Lamat, B'en and Etz'nab' is attested too. Which set applies is a question of place and period, not of one community being right.</w:t>
      </w:r>
    </w:p>
    <w:p>
      <w:r>
        <w:t xml:space="preserve">In the </w:t>
      </w:r>
      <w:r>
        <w:rPr>
          <w:b/>
        </w:rPr>
        <w:t xml:space="preserve">Classic and Postclassic record</w:t>
      </w:r>
      <w:r>
        <w:t xml:space="preserve">, roads matter concretely: the </w:t>
      </w:r>
      <w:r>
        <w:rPr>
          <w:i/>
        </w:rPr>
        <w:t xml:space="preserve">sakb'e</w:t>
      </w:r>
      <w:r>
        <w:t xml:space="preserve">, the raised white causeways, connected lowland centres and are described in Yucatec sources as roads in the fullest sense, ceremonial as well as practical. The </w:t>
      </w:r>
      <w:r>
        <w:rPr>
          <w:b/>
        </w:rPr>
        <w:t xml:space="preserve">Dresden</w:t>
      </w:r>
      <w:r>
        <w:t xml:space="preserve"> and </w:t>
      </w:r>
      <w:r>
        <w:rPr>
          <w:b/>
        </w:rPr>
        <w:t xml:space="preserve">Madrid</w:t>
      </w:r>
      <w:r>
        <w:t xml:space="preserve"> codices carry Eb' as a station in their 260-day almanacs; the Madrid's working almanacs for farming, hunting and beekeeping are the best surviving picture of how such stations were used. The colonial </w:t>
      </w:r>
      <w:r>
        <w:rPr>
          <w:b/>
        </w:rPr>
        <w:t xml:space="preserve">Books of Chilam Balam</w:t>
      </w:r>
      <w:r>
        <w:t xml:space="preserve"> list the twenty days with brief auguries and trades — a colonial-era source in a borrowed format, and a third kind of evidence again beside Classic epigraphy and contemporary daykeeping.</w:t>
      </w:r>
    </w:p>
    <w:p>
      <w:r>
        <w:t xml:space="preserve">The Zapotec </w:t>
      </w:r>
      <w:r>
        <w:rPr>
          <w:i/>
        </w:rPr>
        <w:t xml:space="preserve">piyè</w:t>
      </w:r>
      <w:r>
        <w:t xml:space="preserve"> and the Mixtec codices hold the same position, conventionally glossed Grass.</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600–500 BCE </w:t>
            </w:r>
            <w:r>
              <w:rPr>
                <w:i/>
              </w:rPr>
              <w:t xml:space="preserve">(contested)</w:t>
            </w:r>
          </w:p>
        </w:tc>
        <w:tc>
          <w:tcPr>
            <w:tcW w:w="2400" w:type="dxa"/>
          </w:tcPr>
          <w:p>
            <w:pPr>
              <w:pStyle w:val="TableText"/>
            </w:pPr>
            <w:r>
              <w:t xml:space="preserve">Earliest 260-day count glyphs, Oaxaca — San José Mogote and Monte Albán. Zapotec, not Maya.</w:t>
            </w:r>
          </w:p>
        </w:tc>
      </w:tr>
      <w:tr>
        <w:tc>
          <w:tcPr>
            <w:tcW w:w="2400" w:type="dxa"/>
          </w:tcPr>
          <w:p>
            <w:pPr>
              <w:pStyle w:val="TableText"/>
            </w:pPr>
            <w:r>
              <w:t xml:space="preserve">36 / 32 BCE</w:t>
            </w:r>
          </w:p>
        </w:tc>
        <w:tc>
          <w:tcPr>
            <w:tcW w:w="2400" w:type="dxa"/>
          </w:tcPr>
          <w:p>
            <w:pPr>
              <w:pStyle w:val="TableText"/>
            </w:pPr>
            <w:r>
              <w:t xml:space="preserve">Chiapa de Corzo Stela 2 and Tres Zapotes Stela C, the earliest dated Long Counts. Both partly reconstructed.</w:t>
            </w:r>
          </w:p>
        </w:tc>
      </w:tr>
      <w:tr>
        <w:tc>
          <w:tcPr>
            <w:tcW w:w="2400" w:type="dxa"/>
          </w:tcPr>
          <w:p>
            <w:pPr>
              <w:pStyle w:val="TableText"/>
            </w:pPr>
            <w:r>
              <w:t xml:space="preserve">c. 250–900 CE</w:t>
            </w:r>
          </w:p>
        </w:tc>
        <w:tc>
          <w:tcPr>
            <w:tcW w:w="2400" w:type="dxa"/>
          </w:tcPr>
          <w:p>
            <w:pPr>
              <w:pStyle w:val="TableText"/>
            </w:pPr>
            <w:r>
              <w:t xml:space="preserve">Classic period: day signs in cartouches; </w:t>
            </w:r>
            <w:r>
              <w:rPr>
                <w:i/>
              </w:rPr>
              <w:t xml:space="preserve">sakb'e</w:t>
            </w:r>
            <w:r>
              <w:t xml:space="preserve"> causeways link the lowland centres.</w:t>
            </w:r>
          </w:p>
        </w:tc>
      </w:tr>
      <w:tr>
        <w:tc>
          <w:tcPr>
            <w:tcW w:w="2400" w:type="dxa"/>
          </w:tcPr>
          <w:p>
            <w:pPr>
              <w:pStyle w:val="TableText"/>
            </w:pPr>
            <w:r>
              <w:t xml:space="preserve">11th–12th c. CE </w:t>
            </w:r>
            <w:r>
              <w:rPr>
                <w:i/>
              </w:rPr>
              <w:t xml:space="preserve">(debated)</w:t>
            </w:r>
          </w:p>
        </w:tc>
        <w:tc>
          <w:tcPr>
            <w:tcW w:w="2400" w:type="dxa"/>
          </w:tcPr>
          <w:p>
            <w:pPr>
              <w:pStyle w:val="TableText"/>
            </w:pPr>
            <w:r>
              <w:t xml:space="preserve">The surviving Dresden Codex copy, with its 260-day almanacs.</w:t>
            </w:r>
          </w:p>
        </w:tc>
      </w:tr>
      <w:tr>
        <w:tc>
          <w:tcPr>
            <w:tcW w:w="2400" w:type="dxa"/>
          </w:tcPr>
          <w:p>
            <w:pPr>
              <w:pStyle w:val="TableText"/>
            </w:pPr>
            <w:r>
              <w:t xml:space="preserve">1562 / 1566</w:t>
            </w:r>
          </w:p>
        </w:tc>
        <w:tc>
          <w:tcPr>
            <w:tcW w:w="2400" w:type="dxa"/>
          </w:tcPr>
          <w:p>
            <w:pPr>
              <w:pStyle w:val="TableText"/>
            </w:pPr>
            <w:r>
              <w:t xml:space="preserve">Landa burns the books at Maní, then records the twenty day names in his </w:t>
            </w:r>
            <w:r>
              <w:rPr>
                <w:i/>
              </w:rPr>
              <w:t xml:space="preserve">Relación</w:t>
            </w:r>
            <w:r>
              <w:t xml:space="preserve">.</w:t>
            </w:r>
          </w:p>
        </w:tc>
      </w:tr>
      <w:tr>
        <w:tc>
          <w:tcPr>
            <w:tcW w:w="2400" w:type="dxa"/>
          </w:tcPr>
          <w:p>
            <w:pPr>
              <w:pStyle w:val="TableText"/>
            </w:pPr>
            <w:r>
              <w:t xml:space="preserve">1905–1935</w:t>
            </w:r>
          </w:p>
        </w:tc>
        <w:tc>
          <w:tcPr>
            <w:tcW w:w="2400" w:type="dxa"/>
          </w:tcPr>
          <w:p>
            <w:pPr>
              <w:pStyle w:val="TableText"/>
            </w:pPr>
            <w:r>
              <w:t xml:space="preserve">The Goodman–Martínez–Thompson correlation, constant 584283. Mainstream, not unanimous.</w:t>
            </w:r>
          </w:p>
        </w:tc>
      </w:tr>
      <w:tr>
        <w:tc>
          <w:tcPr>
            <w:tcW w:w="2400" w:type="dxa"/>
          </w:tcPr>
          <w:p>
            <w:pPr>
              <w:pStyle w:val="TableText"/>
            </w:pPr>
            <w:r>
              <w:t xml:space="preserve">11 Aug 3114 BCE</w:t>
            </w:r>
          </w:p>
        </w:tc>
        <w:tc>
          <w:tcPr>
            <w:tcW w:w="2400" w:type="dxa"/>
          </w:tcPr>
          <w:p>
            <w:pPr>
              <w:pStyle w:val="TableText"/>
            </w:pPr>
            <w:r>
              <w:t xml:space="preserve">Long Count zero under GMT 584283 (6 Sep 3114 BCE Julian); the 584285 variant gives 13 August.</w:t>
            </w:r>
          </w:p>
        </w:tc>
      </w:tr>
      <w:tr>
        <w:tc>
          <w:tcPr>
            <w:tcW w:w="2400" w:type="dxa"/>
          </w:tcPr>
          <w:p>
            <w:pPr>
              <w:pStyle w:val="TableText"/>
            </w:pPr>
            <w:r>
              <w:t xml:space="preserve">21 Dec 2012</w:t>
            </w:r>
          </w:p>
        </w:tc>
        <w:tc>
          <w:tcPr>
            <w:tcW w:w="2400" w:type="dxa"/>
          </w:tcPr>
          <w:p>
            <w:pPr>
              <w:pStyle w:val="TableText"/>
            </w:pPr>
            <w:r>
              <w:t xml:space="preserve">13.0.0.0.0, 4 Ajaw 3 K'ank'in — the anchor this site counts from.</w:t>
            </w:r>
          </w:p>
        </w:tc>
      </w:tr>
      <w:tr>
        <w:tc>
          <w:tcPr>
            <w:tcW w:w="2400" w:type="dxa"/>
          </w:tcPr>
          <w:p>
            <w:pPr>
              <w:pStyle w:val="TableText"/>
            </w:pPr>
            <w:r>
              <w:t xml:space="preserve">1995 / 1996</w:t>
            </w:r>
          </w:p>
        </w:tc>
        <w:tc>
          <w:tcPr>
            <w:tcW w:w="2400" w:type="dxa"/>
          </w:tcPr>
          <w:p>
            <w:pPr>
              <w:pStyle w:val="TableText"/>
            </w:pPr>
            <w:r>
              <w:t xml:space="preserve">Guatemala's Peace Accords recognise Maya spirituality and access to sacred places.</w:t>
            </w:r>
          </w:p>
        </w:tc>
      </w:tr>
    </w:tbl>
    <w:p/>
    <w:p>
      <w:pPr>
        <w:pStyle w:val="Heading2"/>
      </w:pPr>
      <w:r>
        <w:t xml:space="preserve">In the count</w:t>
      </w:r>
    </w:p>
    <w:p>
      <w:r>
        <w:t xml:space="preserve">Eb' returns </w:t>
      </w:r>
      <w:r>
        <w:rPr>
          <w:b/>
        </w:rPr>
        <w:t xml:space="preserve">every twenty days</w:t>
      </w:r>
      <w:r>
        <w:t xml:space="preserve">, and because twenty leaves seven on division by thirteen its coefficient rises by seven each time: 7, 1, 8, 2, 9, 3, 10, 4, 11, 5, 12, 6, 13. Thirteen appearances take </w:t>
      </w:r>
      <w:r>
        <w:rPr>
          <w:b/>
        </w:rPr>
        <w:t xml:space="preserve">260 days</w:t>
      </w:r>
      <w:r>
        <w:t xml:space="preserve"> and use each number once.</w:t>
      </w:r>
    </w:p>
    <w:p>
      <w:r>
        <w:t xml:space="preserve">Upcoming in 2026, on the site's GMT anchor: </w:t>
      </w:r>
      <w:r>
        <w:rPr>
          <w:b/>
        </w:rPr>
        <w:t xml:space="preserve">22 August (4 Eb')</w:t>
      </w:r>
      <w:r>
        <w:t xml:space="preserve">, </w:t>
      </w:r>
      <w:r>
        <w:rPr>
          <w:b/>
        </w:rPr>
        <w:t xml:space="preserve">11 September (11 Eb')</w:t>
      </w:r>
      <w:r>
        <w:t xml:space="preserve">, </w:t>
      </w:r>
      <w:r>
        <w:rPr>
          <w:b/>
        </w:rPr>
        <w:t xml:space="preserve">1 October (5 Eb')</w:t>
      </w:r>
      <w:r>
        <w:t xml:space="preserve">.</w:t>
      </w:r>
    </w:p>
    <w:p>
      <w:pPr>
        <w:pStyle w:val="Heading2"/>
      </w:pPr>
      <w:r>
        <w:t xml:space="preserve">Related</w:t>
      </w:r>
    </w:p>
    <w:p>
      <w:pPr>
        <w:pStyle w:val="ListParagraph"/>
        <w:numPr>
          <w:ilvl w:val="0"/>
          <w:numId w:val="1"/>
        </w:numPr>
      </w:pPr>
      <w:hyperlink r:id="rId136">
        <w:r>
          <w:rPr>
            <w:color w:val="1F4E79"/>
            <w:u w:val="single"/>
          </w:rPr>
          <w:t xml:space="preserve">Maya Tzolk'in</w:t>
        </w:r>
      </w:hyperlink>
      <w:r>
        <w:t xml:space="preserve"> — the system, the count, and what it is not.</w:t>
      </w:r>
    </w:p>
    <w:p>
      <w:pPr>
        <w:pStyle w:val="ListParagraph"/>
        <w:numPr>
          <w:ilvl w:val="0"/>
          <w:numId w:val="1"/>
        </w:numPr>
      </w:pPr>
      <w:hyperlink r:id="rId137">
        <w:r>
          <w:rPr>
            <w:color w:val="1F4E79"/>
            <w:u w:val="single"/>
          </w:rPr>
          <w:t xml:space="preserve">Chuwen</w:t>
        </w:r>
      </w:hyperlink>
      <w:r>
        <w:t xml:space="preserve"> — the day before.</w:t>
      </w:r>
    </w:p>
    <w:p>
      <w:pPr>
        <w:pStyle w:val="ListParagraph"/>
        <w:numPr>
          <w:ilvl w:val="0"/>
          <w:numId w:val="1"/>
        </w:numPr>
      </w:pPr>
      <w:hyperlink r:id="rId138">
        <w:r>
          <w:rPr>
            <w:color w:val="1F4E79"/>
            <w:u w:val="single"/>
          </w:rPr>
          <w:t xml:space="preserve">B'en</w:t>
        </w:r>
      </w:hyperlink>
      <w:r>
        <w:t xml:space="preserve"> — the day after.</w:t>
      </w:r>
    </w:p>
    <w:p>
      <w:pPr>
        <w:pStyle w:val="ListParagraph"/>
        <w:numPr>
          <w:ilvl w:val="0"/>
          <w:numId w:val="1"/>
        </w:numPr>
      </w:pPr>
      <w:hyperlink r:id="rId139">
        <w:r>
          <w:rPr>
            <w:color w:val="1F4E79"/>
            <w:u w:val="single"/>
          </w:rPr>
          <w:t xml:space="preserve">World Zodiacs</w:t>
        </w:r>
      </w:hyperlink>
      <w:r>
        <w:t xml:space="preserve"> · </w:t>
      </w:r>
      <w:hyperlink r:id="rId140">
        <w:r>
          <w:rPr>
            <w:color w:val="1F4E79"/>
            <w:u w:val="single"/>
          </w:rPr>
          <w:t xml:space="preserve">Religion</w:t>
        </w:r>
      </w:hyperlink>
      <w:r>
        <w:t xml:space="preserve"> · </w:t>
      </w:r>
      <w:hyperlink r:id="rId141">
        <w:r>
          <w:rPr>
            <w:color w:val="1F4E79"/>
            <w:u w:val="single"/>
          </w:rPr>
          <w:t xml:space="preserve">Calendar</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maya/eb" TargetMode="External"/><Relationship Id="rId101" Type="http://schemas.openxmlformats.org/officeDocument/2006/relationships/hyperlink" Target="https://www.agoramores.com/tags/mesoamerica" TargetMode="External"/><Relationship Id="rId102" Type="http://schemas.openxmlformats.org/officeDocument/2006/relationships/hyperlink" Target="https://www.agoramores.com/culture/zodiac/maya" TargetMode="External"/><Relationship Id="rId103" Type="http://schemas.openxmlformats.org/officeDocument/2006/relationships/hyperlink" Target="https://www.agoramores.com/culture/zodiac/maya/ajaw" TargetMode="External"/><Relationship Id="rId104" Type="http://schemas.openxmlformats.org/officeDocument/2006/relationships/hyperlink" Target="https://www.agoramores.com/culture/zodiac/maya/akbal" TargetMode="External"/><Relationship Id="rId105" Type="http://schemas.openxmlformats.org/officeDocument/2006/relationships/hyperlink" Target="https://www.agoramores.com/culture/zodiac/maya/ben" TargetMode="External"/><Relationship Id="rId106" Type="http://schemas.openxmlformats.org/officeDocument/2006/relationships/hyperlink" Target="https://www.agoramores.com/culture/zodiac/maya/chikchan" TargetMode="External"/><Relationship Id="rId107" Type="http://schemas.openxmlformats.org/officeDocument/2006/relationships/hyperlink" Target="https://www.agoramores.com/culture/zodiac/maya/chuwen" TargetMode="External"/><Relationship Id="rId108" Type="http://schemas.openxmlformats.org/officeDocument/2006/relationships/hyperlink" Target="https://www.agoramores.com/tags/maya" TargetMode="External"/><Relationship Id="rId109" Type="http://schemas.openxmlformats.org/officeDocument/2006/relationships/hyperlink" Target="https://www.agoramores.com/culture/zodiac/maya/ik" TargetMode="External"/><Relationship Id="rId110" Type="http://schemas.openxmlformats.org/officeDocument/2006/relationships/hyperlink" Target="https://www.agoramores.com/culture/zodiac/maya/imix" TargetMode="External"/><Relationship Id="rId111" Type="http://schemas.openxmlformats.org/officeDocument/2006/relationships/hyperlink" Target="https://www.agoramores.com/culture/zodiac/maya/ix" TargetMode="External"/><Relationship Id="rId112" Type="http://schemas.openxmlformats.org/officeDocument/2006/relationships/hyperlink" Target="https://www.agoramores.com/culture/zodiac/maya/kan" TargetMode="External"/><Relationship Id="rId113" Type="http://schemas.openxmlformats.org/officeDocument/2006/relationships/hyperlink" Target="https://www.agoramores.com/culture/zodiac/maya/kib" TargetMode="External"/><Relationship Id="rId114" Type="http://schemas.openxmlformats.org/officeDocument/2006/relationships/hyperlink" Target="https://www.agoramores.com/culture/zodiac/maya/kaban" TargetMode="External"/><Relationship Id="rId115" Type="http://schemas.openxmlformats.org/officeDocument/2006/relationships/hyperlink" Target="https://www.agoramores.com/tags/tzolkin" TargetMode="External"/><Relationship Id="rId116" Type="http://schemas.openxmlformats.org/officeDocument/2006/relationships/hyperlink" Target="https://www.agoramores.com/culture/zodiac/maya/kawak" TargetMode="External"/><Relationship Id="rId117" Type="http://schemas.openxmlformats.org/officeDocument/2006/relationships/hyperlink" Target="https://www.agoramores.com/culture/zodiac/maya/manik" TargetMode="External"/><Relationship Id="rId118" Type="http://schemas.openxmlformats.org/officeDocument/2006/relationships/hyperlink" Target="https://www.agoramores.com/culture/zodiac/maya/ok" TargetMode="External"/><Relationship Id="rId119" Type="http://schemas.openxmlformats.org/officeDocument/2006/relationships/hyperlink" Target="https://www.agoramores.com/culture/zodiac/maya/etznab" TargetMode="External"/><Relationship Id="rId120" Type="http://schemas.openxmlformats.org/officeDocument/2006/relationships/hyperlink" Target="https://www.agoramores.com/culture/zodiac/maya/kimi" TargetMode="External"/><Relationship Id="rId121" Type="http://schemas.openxmlformats.org/officeDocument/2006/relationships/hyperlink" Target="https://www.agoramores.com/culture/zodiac/maya/lamat" TargetMode="External"/><Relationship Id="rId122" Type="http://schemas.openxmlformats.org/officeDocument/2006/relationships/hyperlink" Target="https://www.agoramores.com/tags/zodiac" TargetMode="External"/><Relationship Id="rId123" Type="http://schemas.openxmlformats.org/officeDocument/2006/relationships/hyperlink" Target="https://www.agoramores.com/culture/zodiac" TargetMode="External"/><Relationship Id="rId124" Type="http://schemas.openxmlformats.org/officeDocument/2006/relationships/hyperlink" Target="https://www.agoramores.com/culture/zodiac/western" TargetMode="External"/><Relationship Id="rId125" Type="http://schemas.openxmlformats.org/officeDocument/2006/relationships/hyperlink" Target="https://www.agoramores.com/culture/zodiac/western/capricorn" TargetMode="External"/><Relationship Id="rId126" Type="http://schemas.openxmlformats.org/officeDocument/2006/relationships/hyperlink" Target="https://www.agoramores.com/culture/zodiac/western/aquarius" TargetMode="External"/><Relationship Id="rId127" Type="http://schemas.openxmlformats.org/officeDocument/2006/relationships/hyperlink" Target="https://www.agoramores.com/culture/zodiac/celtic" TargetMode="External"/><Relationship Id="rId128" Type="http://schemas.openxmlformats.org/officeDocument/2006/relationships/hyperlink" Target="https://www.agoramores.com/culture/zodiac/vedic" TargetMode="External"/><Relationship Id="rId129" Type="http://schemas.openxmlformats.org/officeDocument/2006/relationships/hyperlink" Target="https://www.agoramores.com/tags/culture" TargetMode="External"/><Relationship Id="rId130" Type="http://schemas.openxmlformats.org/officeDocument/2006/relationships/hyperlink" Target="https://www.agoramores.com/culture/languages" TargetMode="External"/><Relationship Id="rId131" Type="http://schemas.openxmlformats.org/officeDocument/2006/relationships/hyperlink" Target="https://www.agoramores.com/culture" TargetMode="External"/><Relationship Id="rId132" Type="http://schemas.openxmlformats.org/officeDocument/2006/relationships/hyperlink" Target="https://www.agoramores.com/culture/diaspora/arabic-speaking" TargetMode="External"/><Relationship Id="rId133" Type="http://schemas.openxmlformats.org/officeDocument/2006/relationships/hyperlink" Target="https://www.agoramores.com/culture/diaspora/english-speaking" TargetMode="External"/><Relationship Id="rId134" Type="http://schemas.openxmlformats.org/officeDocument/2006/relationships/hyperlink" Target="https://www.agoramores.com/culture/diaspora/bhutanese-nepali-americans" TargetMode="External"/><Relationship Id="rId135" Type="http://schemas.openxmlformats.org/officeDocument/2006/relationships/hyperlink" Target="https://www.agoramores.com/culture/diaspora/somali-speaking" TargetMode="External"/><Relationship Id="rId136" Type="http://schemas.openxmlformats.org/officeDocument/2006/relationships/hyperlink" Target="https://www.agoramores.com/culture/zodiac/maya/portal" TargetMode="External"/><Relationship Id="rId137" Type="http://schemas.openxmlformats.org/officeDocument/2006/relationships/hyperlink" Target="https://www.agoramores.com/culture/zodiac/maya/chuwen" TargetMode="External"/><Relationship Id="rId138" Type="http://schemas.openxmlformats.org/officeDocument/2006/relationships/hyperlink" Target="https://www.agoramores.com/culture/zodiac/maya/ben" TargetMode="External"/><Relationship Id="rId139" Type="http://schemas.openxmlformats.org/officeDocument/2006/relationships/hyperlink" Target="https://www.agoramores.com/culture/zodiac/portal" TargetMode="External"/><Relationship Id="rId140" Type="http://schemas.openxmlformats.org/officeDocument/2006/relationships/hyperlink" Target="https://www.agoramores.com/religion/portal" TargetMode="External"/><Relationship Id="rId141"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Eb'</dc:title>
  <dc:creator>Agoramores</dc:creator>
  <cp:keywords>culture, zodiac, tzolkin, maya, mesoamerica</cp:keywords>
  <dcterms:created xsi:type="dcterms:W3CDTF">2026-08-21T01:08:15Z</dcterms:created>
</cp:coreProperties>
</file>