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Chuwen</w:t>
      </w:r>
    </w:p>
    <w:p>
      <w:pPr>
        <w:pStyle w:val="Subtitle"/>
      </w:pPr>
      <w:hyperlink r:id="rId100">
        <w:r>
          <w:rPr>
            <w:color w:val="1F4E79"/>
            <w:u w:val="single"/>
          </w:rPr>
          <w:t xml:space="preserve">https://www.agoramores.com/culture/zodiac/maya/chuwen</w:t>
        </w:r>
      </w:hyperlink>
    </w:p>
    <w:p>
      <w:pPr>
        <w:pStyle w:val="Subtitle"/>
      </w:pPr>
      <w:r>
        <w:t xml:space="preserve">Tags: culture · zodiac · tzolkin · maya · mesoamerica</w:t>
      </w:r>
    </w:p>
    <w:p>
      <w:pPr>
        <w:pBdr>
          <w:bottom w:val="single" w:sz="6" w:space="1" w:color="808080"/>
        </w:pBdr>
      </w:pPr>
    </w:p>
    <w:p>
      <w:pPr>
        <w:pStyle w:val="Heading1"/>
      </w:pPr>
      <w:r>
        <w:t xml:space="preserve">Related</w:t>
      </w:r>
    </w:p>
    <w:p>
      <w:pPr>
        <w:pStyle w:val="Heading2"/>
      </w:pPr>
      <w:hyperlink r:id="rId101">
        <w:r>
          <w:rPr>
            <w:color w:val="1F4E79"/>
            <w:u w:val="single"/>
          </w:rPr>
          <w:t xml:space="preserve">mesoamerica</w:t>
        </w:r>
      </w:hyperlink>
    </w:p>
    <w:p>
      <w:pPr>
        <w:pStyle w:val="ListParagraph"/>
        <w:numPr>
          <w:ilvl w:val="0"/>
          <w:numId w:val="1"/>
        </w:numPr>
      </w:pPr>
      <w:hyperlink r:id="rId102">
        <w:r>
          <w:rPr>
            <w:color w:val="1F4E79"/>
            <w:u w:val="single"/>
          </w:rPr>
          <w:t xml:space="preserve">maya</w:t>
        </w:r>
      </w:hyperlink>
    </w:p>
    <w:p>
      <w:pPr>
        <w:pStyle w:val="ListParagraph"/>
        <w:numPr>
          <w:ilvl w:val="0"/>
          <w:numId w:val="1"/>
        </w:numPr>
      </w:pPr>
      <w:hyperlink r:id="rId103">
        <w:r>
          <w:rPr>
            <w:color w:val="1F4E79"/>
            <w:u w:val="single"/>
          </w:rPr>
          <w:t xml:space="preserve">Ajaw</w:t>
        </w:r>
      </w:hyperlink>
    </w:p>
    <w:p>
      <w:pPr>
        <w:pStyle w:val="ListParagraph"/>
        <w:numPr>
          <w:ilvl w:val="0"/>
          <w:numId w:val="1"/>
        </w:numPr>
      </w:pPr>
      <w:hyperlink r:id="rId104">
        <w:r>
          <w:rPr>
            <w:color w:val="1F4E79"/>
            <w:u w:val="single"/>
          </w:rPr>
          <w:t xml:space="preserve">Ak'b'al</w:t>
        </w:r>
      </w:hyperlink>
    </w:p>
    <w:p>
      <w:pPr>
        <w:pStyle w:val="ListParagraph"/>
        <w:numPr>
          <w:ilvl w:val="0"/>
          <w:numId w:val="1"/>
        </w:numPr>
      </w:pPr>
      <w:hyperlink r:id="rId105">
        <w:r>
          <w:rPr>
            <w:color w:val="1F4E79"/>
            <w:u w:val="single"/>
          </w:rPr>
          <w:t xml:space="preserve">B'en</w:t>
        </w:r>
      </w:hyperlink>
    </w:p>
    <w:p>
      <w:pPr>
        <w:pStyle w:val="ListParagraph"/>
        <w:numPr>
          <w:ilvl w:val="0"/>
          <w:numId w:val="1"/>
        </w:numPr>
      </w:pPr>
      <w:hyperlink r:id="rId106">
        <w:r>
          <w:rPr>
            <w:color w:val="1F4E79"/>
            <w:u w:val="single"/>
          </w:rPr>
          <w:t xml:space="preserve">Chikchan</w:t>
        </w:r>
      </w:hyperlink>
    </w:p>
    <w:p>
      <w:pPr>
        <w:pStyle w:val="ListParagraph"/>
        <w:numPr>
          <w:ilvl w:val="0"/>
          <w:numId w:val="1"/>
        </w:numPr>
      </w:pPr>
      <w:hyperlink r:id="rId107">
        <w:r>
          <w:rPr>
            <w:color w:val="1F4E79"/>
            <w:u w:val="single"/>
          </w:rPr>
          <w:t xml:space="preserve">Eb'</w:t>
        </w:r>
      </w:hyperlink>
    </w:p>
    <w:p>
      <w:pPr>
        <w:pStyle w:val="Heading2"/>
      </w:pPr>
      <w:hyperlink r:id="rId108">
        <w:r>
          <w:rPr>
            <w:color w:val="1F4E79"/>
            <w:u w:val="single"/>
          </w:rPr>
          <w:t xml:space="preserve">maya</w:t>
        </w:r>
      </w:hyperlink>
    </w:p>
    <w:p>
      <w:pPr>
        <w:pStyle w:val="ListParagraph"/>
        <w:numPr>
          <w:ilvl w:val="0"/>
          <w:numId w:val="1"/>
        </w:numPr>
      </w:pPr>
      <w:hyperlink r:id="rId109">
        <w:r>
          <w:rPr>
            <w:color w:val="1F4E79"/>
            <w:u w:val="single"/>
          </w:rPr>
          <w:t xml:space="preserve">Ik'</w:t>
        </w:r>
      </w:hyperlink>
    </w:p>
    <w:p>
      <w:pPr>
        <w:pStyle w:val="ListParagraph"/>
        <w:numPr>
          <w:ilvl w:val="0"/>
          <w:numId w:val="1"/>
        </w:numPr>
      </w:pPr>
      <w:hyperlink r:id="rId110">
        <w:r>
          <w:rPr>
            <w:color w:val="1F4E79"/>
            <w:u w:val="single"/>
          </w:rPr>
          <w:t xml:space="preserve">Imix</w:t>
        </w:r>
      </w:hyperlink>
    </w:p>
    <w:p>
      <w:pPr>
        <w:pStyle w:val="ListParagraph"/>
        <w:numPr>
          <w:ilvl w:val="0"/>
          <w:numId w:val="1"/>
        </w:numPr>
      </w:pPr>
      <w:hyperlink r:id="rId111">
        <w:r>
          <w:rPr>
            <w:color w:val="1F4E79"/>
            <w:u w:val="single"/>
          </w:rPr>
          <w:t xml:space="preserve">Ix</w:t>
        </w:r>
      </w:hyperlink>
    </w:p>
    <w:p>
      <w:pPr>
        <w:pStyle w:val="ListParagraph"/>
        <w:numPr>
          <w:ilvl w:val="0"/>
          <w:numId w:val="1"/>
        </w:numPr>
      </w:pPr>
      <w:hyperlink r:id="rId112">
        <w:r>
          <w:rPr>
            <w:color w:val="1F4E79"/>
            <w:u w:val="single"/>
          </w:rPr>
          <w:t xml:space="preserve">K'an</w:t>
        </w:r>
      </w:hyperlink>
    </w:p>
    <w:p>
      <w:pPr>
        <w:pStyle w:val="ListParagraph"/>
        <w:numPr>
          <w:ilvl w:val="0"/>
          <w:numId w:val="1"/>
        </w:numPr>
      </w:pPr>
      <w:hyperlink r:id="rId113">
        <w:r>
          <w:rPr>
            <w:color w:val="1F4E79"/>
            <w:u w:val="single"/>
          </w:rPr>
          <w:t xml:space="preserve">K'ib'</w:t>
        </w:r>
      </w:hyperlink>
    </w:p>
    <w:p>
      <w:pPr>
        <w:pStyle w:val="ListParagraph"/>
        <w:numPr>
          <w:ilvl w:val="0"/>
          <w:numId w:val="1"/>
        </w:numPr>
      </w:pPr>
      <w:hyperlink r:id="rId114">
        <w:r>
          <w:rPr>
            <w:color w:val="1F4E79"/>
            <w:u w:val="single"/>
          </w:rPr>
          <w:t xml:space="preserve">Kab'an</w:t>
        </w:r>
      </w:hyperlink>
    </w:p>
    <w:p>
      <w:pPr>
        <w:pStyle w:val="Heading2"/>
      </w:pPr>
      <w:hyperlink r:id="rId115">
        <w:r>
          <w:rPr>
            <w:color w:val="1F4E79"/>
            <w:u w:val="single"/>
          </w:rPr>
          <w:t xml:space="preserve">tzolkin</w:t>
        </w:r>
      </w:hyperlink>
    </w:p>
    <w:p>
      <w:pPr>
        <w:pStyle w:val="ListParagraph"/>
        <w:numPr>
          <w:ilvl w:val="0"/>
          <w:numId w:val="1"/>
        </w:numPr>
      </w:pPr>
      <w:hyperlink r:id="rId116">
        <w:r>
          <w:rPr>
            <w:color w:val="1F4E79"/>
            <w:u w:val="single"/>
          </w:rPr>
          <w:t xml:space="preserve">Kawak</w:t>
        </w:r>
      </w:hyperlink>
    </w:p>
    <w:p>
      <w:pPr>
        <w:pStyle w:val="ListParagraph"/>
        <w:numPr>
          <w:ilvl w:val="0"/>
          <w:numId w:val="1"/>
        </w:numPr>
      </w:pPr>
      <w:hyperlink r:id="rId117">
        <w:r>
          <w:rPr>
            <w:color w:val="1F4E79"/>
            <w:u w:val="single"/>
          </w:rPr>
          <w:t xml:space="preserve">Manik'</w:t>
        </w:r>
      </w:hyperlink>
    </w:p>
    <w:p>
      <w:pPr>
        <w:pStyle w:val="ListParagraph"/>
        <w:numPr>
          <w:ilvl w:val="0"/>
          <w:numId w:val="1"/>
        </w:numPr>
      </w:pPr>
      <w:hyperlink r:id="rId118">
        <w:r>
          <w:rPr>
            <w:color w:val="1F4E79"/>
            <w:u w:val="single"/>
          </w:rPr>
          <w:t xml:space="preserve">Ok</w:t>
        </w:r>
      </w:hyperlink>
    </w:p>
    <w:p>
      <w:pPr>
        <w:pStyle w:val="ListParagraph"/>
        <w:numPr>
          <w:ilvl w:val="0"/>
          <w:numId w:val="1"/>
        </w:numPr>
      </w:pPr>
      <w:hyperlink r:id="rId119">
        <w:r>
          <w:rPr>
            <w:color w:val="1F4E79"/>
            <w:u w:val="single"/>
          </w:rPr>
          <w:t xml:space="preserve">Etz'nab'</w:t>
        </w:r>
      </w:hyperlink>
    </w:p>
    <w:p>
      <w:pPr>
        <w:pStyle w:val="ListParagraph"/>
        <w:numPr>
          <w:ilvl w:val="0"/>
          <w:numId w:val="1"/>
        </w:numPr>
      </w:pPr>
      <w:hyperlink r:id="rId120">
        <w:r>
          <w:rPr>
            <w:color w:val="1F4E79"/>
            <w:u w:val="single"/>
          </w:rPr>
          <w:t xml:space="preserve">Kimi</w:t>
        </w:r>
      </w:hyperlink>
    </w:p>
    <w:p>
      <w:pPr>
        <w:pStyle w:val="ListParagraph"/>
        <w:numPr>
          <w:ilvl w:val="0"/>
          <w:numId w:val="1"/>
        </w:numPr>
      </w:pPr>
      <w:hyperlink r:id="rId121">
        <w:r>
          <w:rPr>
            <w:color w:val="1F4E79"/>
            <w:u w:val="single"/>
          </w:rPr>
          <w:t xml:space="preserve">Lamat</w:t>
        </w:r>
      </w:hyperlink>
    </w:p>
    <w:p>
      <w:pPr>
        <w:pStyle w:val="Heading2"/>
      </w:pPr>
      <w:hyperlink r:id="rId122">
        <w:r>
          <w:rPr>
            <w:color w:val="1F4E79"/>
            <w:u w:val="single"/>
          </w:rPr>
          <w:t xml:space="preserve">zodiac</w:t>
        </w:r>
      </w:hyperlink>
    </w:p>
    <w:p>
      <w:pPr>
        <w:pStyle w:val="ListParagraph"/>
        <w:numPr>
          <w:ilvl w:val="0"/>
          <w:numId w:val="1"/>
        </w:numPr>
      </w:pPr>
      <w:hyperlink r:id="rId123">
        <w:r>
          <w:rPr>
            <w:color w:val="1F4E79"/>
            <w:u w:val="single"/>
          </w:rPr>
          <w:t xml:space="preserve">zodiac</w:t>
        </w:r>
      </w:hyperlink>
    </w:p>
    <w:p>
      <w:pPr>
        <w:pStyle w:val="ListParagraph"/>
        <w:numPr>
          <w:ilvl w:val="0"/>
          <w:numId w:val="1"/>
        </w:numPr>
      </w:pPr>
      <w:hyperlink r:id="rId124">
        <w:r>
          <w:rPr>
            <w:color w:val="1F4E79"/>
            <w:u w:val="single"/>
          </w:rPr>
          <w:t xml:space="preserve">western</w:t>
        </w:r>
      </w:hyperlink>
    </w:p>
    <w:p>
      <w:pPr>
        <w:pStyle w:val="ListParagraph"/>
        <w:numPr>
          <w:ilvl w:val="0"/>
          <w:numId w:val="1"/>
        </w:numPr>
      </w:pPr>
      <w:hyperlink r:id="rId125">
        <w:r>
          <w:rPr>
            <w:color w:val="1F4E79"/>
            <w:u w:val="single"/>
          </w:rPr>
          <w:t xml:space="preserve">Capricorn</w:t>
        </w:r>
      </w:hyperlink>
    </w:p>
    <w:p>
      <w:pPr>
        <w:pStyle w:val="ListParagraph"/>
        <w:numPr>
          <w:ilvl w:val="0"/>
          <w:numId w:val="1"/>
        </w:numPr>
      </w:pPr>
      <w:hyperlink r:id="rId126">
        <w:r>
          <w:rPr>
            <w:color w:val="1F4E79"/>
            <w:u w:val="single"/>
          </w:rPr>
          <w:t xml:space="preserve">Aquarius</w:t>
        </w:r>
      </w:hyperlink>
    </w:p>
    <w:p>
      <w:pPr>
        <w:pStyle w:val="ListParagraph"/>
        <w:numPr>
          <w:ilvl w:val="0"/>
          <w:numId w:val="1"/>
        </w:numPr>
      </w:pPr>
      <w:hyperlink r:id="rId127">
        <w:r>
          <w:rPr>
            <w:color w:val="1F4E79"/>
            <w:u w:val="single"/>
          </w:rPr>
          <w:t xml:space="preserve">celtic</w:t>
        </w:r>
      </w:hyperlink>
    </w:p>
    <w:p>
      <w:pPr>
        <w:pStyle w:val="ListParagraph"/>
        <w:numPr>
          <w:ilvl w:val="0"/>
          <w:numId w:val="1"/>
        </w:numPr>
      </w:pPr>
      <w:hyperlink r:id="rId128">
        <w:r>
          <w:rPr>
            <w:color w:val="1F4E79"/>
            <w:u w:val="single"/>
          </w:rPr>
          <w:t xml:space="preserve">vedic</w:t>
        </w:r>
      </w:hyperlink>
    </w:p>
    <w:p>
      <w:pPr>
        <w:pStyle w:val="Heading2"/>
      </w:pPr>
      <w:hyperlink r:id="rId129">
        <w:r>
          <w:rPr>
            <w:color w:val="1F4E79"/>
            <w:u w:val="single"/>
          </w:rPr>
          <w:t xml:space="preserve">culture</w:t>
        </w:r>
      </w:hyperlink>
    </w:p>
    <w:p>
      <w:pPr>
        <w:pStyle w:val="ListParagraph"/>
        <w:numPr>
          <w:ilvl w:val="0"/>
          <w:numId w:val="1"/>
        </w:numPr>
      </w:pPr>
      <w:hyperlink r:id="rId130">
        <w:r>
          <w:rPr>
            <w:color w:val="1F4E79"/>
            <w:u w:val="single"/>
          </w:rPr>
          <w:t xml:space="preserve">languages</w:t>
        </w:r>
      </w:hyperlink>
    </w:p>
    <w:p>
      <w:pPr>
        <w:pStyle w:val="ListParagraph"/>
        <w:numPr>
          <w:ilvl w:val="0"/>
          <w:numId w:val="1"/>
        </w:numPr>
      </w:pPr>
      <w:hyperlink r:id="rId131">
        <w:r>
          <w:rPr>
            <w:color w:val="1F4E79"/>
            <w:u w:val="single"/>
          </w:rPr>
          <w:t xml:space="preserve">culture</w:t>
        </w:r>
      </w:hyperlink>
    </w:p>
    <w:p>
      <w:pPr>
        <w:pStyle w:val="ListParagraph"/>
        <w:numPr>
          <w:ilvl w:val="0"/>
          <w:numId w:val="1"/>
        </w:numPr>
      </w:pPr>
      <w:hyperlink r:id="rId132">
        <w:r>
          <w:rPr>
            <w:color w:val="1F4E79"/>
            <w:u w:val="single"/>
          </w:rPr>
          <w:t xml:space="preserve">Arabic Speaking</w:t>
        </w:r>
      </w:hyperlink>
    </w:p>
    <w:p>
      <w:pPr>
        <w:pStyle w:val="ListParagraph"/>
        <w:numPr>
          <w:ilvl w:val="0"/>
          <w:numId w:val="1"/>
        </w:numPr>
      </w:pPr>
      <w:hyperlink r:id="rId133">
        <w:r>
          <w:rPr>
            <w:color w:val="1F4E79"/>
            <w:u w:val="single"/>
          </w:rPr>
          <w:t xml:space="preserve">English Speaking</w:t>
        </w:r>
      </w:hyperlink>
    </w:p>
    <w:p>
      <w:pPr>
        <w:pStyle w:val="ListParagraph"/>
        <w:numPr>
          <w:ilvl w:val="0"/>
          <w:numId w:val="1"/>
        </w:numPr>
      </w:pPr>
      <w:hyperlink r:id="rId134">
        <w:r>
          <w:rPr>
            <w:color w:val="1F4E79"/>
            <w:u w:val="single"/>
          </w:rPr>
          <w:t xml:space="preserve">Bhutanese Nepali Americans</w:t>
        </w:r>
      </w:hyperlink>
    </w:p>
    <w:p>
      <w:pPr>
        <w:pStyle w:val="ListParagraph"/>
        <w:numPr>
          <w:ilvl w:val="0"/>
          <w:numId w:val="1"/>
        </w:numPr>
      </w:pPr>
      <w:hyperlink r:id="rId135">
        <w:r>
          <w:rPr>
            <w:color w:val="1F4E79"/>
            <w:u w:val="single"/>
          </w:rPr>
          <w:t xml:space="preserve">Somali Speaking</w:t>
        </w:r>
      </w:hyperlink>
    </w:p>
    <w:p>
      <w:pPr>
        <w:pStyle w:val="Heading1"/>
      </w:pPr>
      <w:r>
        <w:t xml:space="preserve">Chuwen</w:t>
      </w:r>
    </w:p>
    <w:p>
      <w:r>
        <w:rPr>
          <w:b/>
        </w:rPr>
        <w:t xml:space="preserve">Eleventh of the twenty.</w:t>
      </w:r>
      <w:r>
        <w:t xml:space="preserve"> Yucatec </w:t>
      </w:r>
      <w:r>
        <w:rPr>
          <w:b/>
        </w:rPr>
        <w:t xml:space="preserve">Chuwen</w:t>
      </w:r>
      <w:r>
        <w:t xml:space="preserve">; K'iche' </w:t>
      </w:r>
      <w:r>
        <w:rPr>
          <w:b/>
        </w:rPr>
        <w:t xml:space="preserve">B'atz'</w:t>
      </w:r>
      <w:r>
        <w:t xml:space="preserve">. The Classic sign is a monkey head with a distinctive marking on the cheek and a characteristically drawn ear. The Yucatec name carries the sense of </w:t>
      </w:r>
      <w:r>
        <w:rPr>
          <w:i/>
        </w:rPr>
        <w:t xml:space="preserve">artisan</w:t>
      </w:r>
      <w:r>
        <w:t xml:space="preserve"> or </w:t>
      </w:r>
      <w:r>
        <w:rPr>
          <w:i/>
        </w:rPr>
        <w:t xml:space="preserve">craftsman</w:t>
      </w:r>
      <w:r>
        <w:t xml:space="preserve">; the K'iche' name means </w:t>
      </w:r>
      <w:r>
        <w:rPr>
          <w:i/>
        </w:rPr>
        <w:t xml:space="preserve">monkey</w:t>
      </w:r>
      <w:r>
        <w:t xml:space="preserve">, and also </w:t>
      </w:r>
      <w:r>
        <w:rPr>
          <w:i/>
        </w:rPr>
        <w:t xml:space="preserve">thread</w:t>
      </w:r>
      <w:r>
        <w:t xml:space="preserve"> — the spun cord as it comes off the spindle. The site's tooltip gives it as </w:t>
      </w:r>
      <w:r>
        <w:rPr>
          <w:b/>
        </w:rPr>
        <w:t xml:space="preserve">the monkey artisan, thread of time</w:t>
      </w:r>
      <w:r>
        <w:t xml:space="preserve">. Direction west, colour black.</w:t>
      </w:r>
    </w:p>
    <w:p>
      <w:r>
        <w:t xml:space="preserve">This is the day with the clearest single line running from a Classic glyph through a colonial book to a ceremony held this year.</w:t>
      </w:r>
    </w:p>
    <w:p>
      <w:pPr>
        <w:pStyle w:val="Heading2"/>
      </w:pPr>
      <w:r>
        <w:t xml:space="preserve">Religion and daykeeping</w:t>
      </w:r>
    </w:p>
    <w:p>
      <w:r>
        <w:rPr>
          <w:b/>
        </w:rPr>
        <w:t xml:space="preserve">Wajxaqib' B'atz'</w:t>
      </w:r>
      <w:r>
        <w:t xml:space="preserve"> — 8 B'atz', which is 8 Chuwen in the Yucatec naming — is the daykeepers' new year. In Momostenango and other K'iche' towns it is the day on which new </w:t>
      </w:r>
      <w:r>
        <w:rPr>
          <w:i/>
        </w:rPr>
        <w:t xml:space="preserve">ajq'ijab'</w:t>
      </w:r>
      <w:r>
        <w:t xml:space="preserve"> complete their initiation, having been trained through the preceding cycle, and on which established daykeepers renew their commitments. It comes round every 260 days, so it moves freely through the Gregorian year and never lands in the same season twice running. It is the most publicly visible day in the whole count, and the one that most plainly demonstrates that this is a functioning religious calendar rather than a historical curiosity.</w:t>
      </w:r>
    </w:p>
    <w:p>
      <w:r>
        <w:t xml:space="preserve">In </w:t>
      </w:r>
      <w:r>
        <w:rPr>
          <w:b/>
        </w:rPr>
        <w:t xml:space="preserve">living highland practice</w:t>
      </w:r>
      <w:r>
        <w:t xml:space="preserve"> more broadly, B'atz' is the thread — time itself understood as something spun and wound, and by extension weaving, the crafts, and the unrolling of a life. Ethnographic accounts and Guatemalan Maya organisations describe it as a day for beginnings that will take a long time to finish, for artistry, and for the continuity of a lineage. An </w:t>
      </w:r>
      <w:r>
        <w:rPr>
          <w:i/>
        </w:rPr>
        <w:t xml:space="preserve">ajq'ij</w:t>
      </w:r>
      <w:r>
        <w:t xml:space="preserve"> born on B'atz' is spoken of as a maker, and as someone whose calling arrives early. What is done at the initiations, and where, is taught inside the lineage; it is described here, not instructed.</w:t>
      </w:r>
    </w:p>
    <w:p>
      <w:r>
        <w:t xml:space="preserve">The </w:t>
      </w:r>
      <w:r>
        <w:rPr>
          <w:b/>
          <w:i/>
        </w:rPr>
        <w:t xml:space="preserve">Popol Vuh</w:t>
      </w:r>
      <w:r>
        <w:t xml:space="preserve"> names this day twice over in a single pair of characters. </w:t>
      </w:r>
      <w:r>
        <w:rPr>
          <w:b/>
        </w:rPr>
        <w:t xml:space="preserve">Jun B'atz'</w:t>
      </w:r>
      <w:r>
        <w:t xml:space="preserve"> and </w:t>
      </w:r>
      <w:r>
        <w:rPr>
          <w:b/>
        </w:rPr>
        <w:t xml:space="preserve">Jun Chowen</w:t>
      </w:r>
      <w:r>
        <w:t xml:space="preserve"> — One Monkey and One Artisan — are the Hero Twins' elder half-brothers: flautists, singers, writers, carvers and jewellers, who bully the twins and are tricked into climbing a tree, whereupon they become monkeys. They remain the patrons of the arts, invoked by musicians and scribes. One character carries the K'iche' name of the day, the other the Yucatec name, which is about as tidy a piece of corroboration as this field offers.</w:t>
      </w:r>
    </w:p>
    <w:p>
      <w:r>
        <w:t xml:space="preserve">The Classic-period counterpart is the </w:t>
      </w:r>
      <w:r>
        <w:rPr>
          <w:b/>
        </w:rPr>
        <w:t xml:space="preserve">monkey scribe</w:t>
      </w:r>
      <w:r>
        <w:t xml:space="preserve">, a well-attested figure on painted pottery: a howler or spider monkey holding a brush and a codex, sometimes paired, associated with writing and with the making of books. The </w:t>
      </w:r>
      <w:r>
        <w:rPr>
          <w:b/>
        </w:rPr>
        <w:t xml:space="preserve">Dresden</w:t>
      </w:r>
      <w:r>
        <w:t xml:space="preserve"> and </w:t>
      </w:r>
      <w:r>
        <w:rPr>
          <w:b/>
        </w:rPr>
        <w:t xml:space="preserve">Madrid</w:t>
      </w:r>
      <w:r>
        <w:t xml:space="preserve"> codices carry the day as a station among their 260-day almanacs like any other.</w:t>
      </w:r>
    </w:p>
    <w:p>
      <w:r>
        <w:t xml:space="preserve">The Aztec cognate is </w:t>
      </w:r>
      <w:r>
        <w:rPr>
          <w:b/>
        </w:rPr>
        <w:t xml:space="preserve">Ozomahtli</w:t>
      </w:r>
      <w:r>
        <w:t xml:space="preserve">, monkey, whose patron is Xochipilli, the flower prince and lord of song and dance. The Zapotec </w:t>
      </w:r>
      <w:r>
        <w:rPr>
          <w:i/>
        </w:rPr>
        <w:t xml:space="preserve">piyè</w:t>
      </w:r>
      <w:r>
        <w:t xml:space="preserve"> and the Mixtec codices hold the same position, conventionally glossed Monkey.</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600–500 BCE </w:t>
            </w:r>
            <w:r>
              <w:rPr>
                <w:i/>
              </w:rPr>
              <w:t xml:space="preserve">(contested)</w:t>
            </w:r>
          </w:p>
        </w:tc>
        <w:tc>
          <w:tcPr>
            <w:tcW w:w="2400" w:type="dxa"/>
          </w:tcPr>
          <w:p>
            <w:pPr>
              <w:pStyle w:val="TableText"/>
            </w:pPr>
            <w:r>
              <w:t xml:space="preserve">Earliest 260-day count glyphs, Oaxaca — San José Mogote and Monte Albán. Zapotec, not Maya.</w:t>
            </w:r>
          </w:p>
        </w:tc>
      </w:tr>
      <w:tr>
        <w:tc>
          <w:tcPr>
            <w:tcW w:w="2400" w:type="dxa"/>
          </w:tcPr>
          <w:p>
            <w:pPr>
              <w:pStyle w:val="TableText"/>
            </w:pPr>
            <w:r>
              <w:t xml:space="preserve">36 / 32 BCE</w:t>
            </w:r>
          </w:p>
        </w:tc>
        <w:tc>
          <w:tcPr>
            <w:tcW w:w="2400" w:type="dxa"/>
          </w:tcPr>
          <w:p>
            <w:pPr>
              <w:pStyle w:val="TableText"/>
            </w:pPr>
            <w:r>
              <w:t xml:space="preserve">Chiapa de Corzo Stela 2 and Tres Zapotes Stela C, the earliest dated Long Counts. Both partly reconstructed.</w:t>
            </w:r>
          </w:p>
        </w:tc>
      </w:tr>
      <w:tr>
        <w:tc>
          <w:tcPr>
            <w:tcW w:w="2400" w:type="dxa"/>
          </w:tcPr>
          <w:p>
            <w:pPr>
              <w:pStyle w:val="TableText"/>
            </w:pPr>
            <w:r>
              <w:t xml:space="preserve">c. 250–900 CE</w:t>
            </w:r>
          </w:p>
        </w:tc>
        <w:tc>
          <w:tcPr>
            <w:tcW w:w="2400" w:type="dxa"/>
          </w:tcPr>
          <w:p>
            <w:pPr>
              <w:pStyle w:val="TableText"/>
            </w:pPr>
            <w:r>
              <w:t xml:space="preserve">Classic period: monkey scribes painted on funerary pottery; day signs in cartouches on the monuments.</w:t>
            </w:r>
          </w:p>
        </w:tc>
      </w:tr>
      <w:tr>
        <w:tc>
          <w:tcPr>
            <w:tcW w:w="2400" w:type="dxa"/>
          </w:tcPr>
          <w:p>
            <w:pPr>
              <w:pStyle w:val="TableText"/>
            </w:pPr>
            <w:r>
              <w:t xml:space="preserve">11th–12th c. CE </w:t>
            </w:r>
            <w:r>
              <w:rPr>
                <w:i/>
              </w:rPr>
              <w:t xml:space="preserve">(debated)</w:t>
            </w:r>
          </w:p>
        </w:tc>
        <w:tc>
          <w:tcPr>
            <w:tcW w:w="2400" w:type="dxa"/>
          </w:tcPr>
          <w:p>
            <w:pPr>
              <w:pStyle w:val="TableText"/>
            </w:pPr>
            <w:r>
              <w:t xml:space="preserve">The surviving Dresden Codex copy, with its 260-day almanacs.</w:t>
            </w:r>
          </w:p>
        </w:tc>
      </w:tr>
      <w:tr>
        <w:tc>
          <w:tcPr>
            <w:tcW w:w="2400" w:type="dxa"/>
          </w:tcPr>
          <w:p>
            <w:pPr>
              <w:pStyle w:val="TableText"/>
            </w:pPr>
            <w:r>
              <w:t xml:space="preserve">c. 1554–1558</w:t>
            </w:r>
          </w:p>
        </w:tc>
        <w:tc>
          <w:tcPr>
            <w:tcW w:w="2400" w:type="dxa"/>
          </w:tcPr>
          <w:p>
            <w:pPr>
              <w:pStyle w:val="TableText"/>
            </w:pPr>
            <w:r>
              <w:t xml:space="preserve">The </w:t>
            </w:r>
            <w:r>
              <w:rPr>
                <w:i/>
              </w:rPr>
              <w:t xml:space="preserve">Popol Vuh</w:t>
            </w:r>
            <w:r>
              <w:t xml:space="preserve"> is written down in K'iche', naming Jun B'atz' and Jun Chowen as patrons of the arts.</w:t>
            </w:r>
          </w:p>
        </w:tc>
      </w:tr>
      <w:tr>
        <w:tc>
          <w:tcPr>
            <w:tcW w:w="2400" w:type="dxa"/>
          </w:tcPr>
          <w:p>
            <w:pPr>
              <w:pStyle w:val="TableText"/>
            </w:pPr>
            <w:r>
              <w:t xml:space="preserve">1562 / 1566</w:t>
            </w:r>
          </w:p>
        </w:tc>
        <w:tc>
          <w:tcPr>
            <w:tcW w:w="2400" w:type="dxa"/>
          </w:tcPr>
          <w:p>
            <w:pPr>
              <w:pStyle w:val="TableText"/>
            </w:pPr>
            <w:r>
              <w:t xml:space="preserve">Landa burns the books at Maní, then records the twenty day names in his </w:t>
            </w:r>
            <w:r>
              <w:rPr>
                <w:i/>
              </w:rPr>
              <w:t xml:space="preserve">Relación</w:t>
            </w:r>
            <w:r>
              <w:t xml:space="preserve">.</w:t>
            </w:r>
          </w:p>
        </w:tc>
      </w:tr>
      <w:tr>
        <w:tc>
          <w:tcPr>
            <w:tcW w:w="2400" w:type="dxa"/>
          </w:tcPr>
          <w:p>
            <w:pPr>
              <w:pStyle w:val="TableText"/>
            </w:pPr>
            <w:r>
              <w:t xml:space="preserve">1905–1935</w:t>
            </w:r>
          </w:p>
        </w:tc>
        <w:tc>
          <w:tcPr>
            <w:tcW w:w="2400" w:type="dxa"/>
          </w:tcPr>
          <w:p>
            <w:pPr>
              <w:pStyle w:val="TableText"/>
            </w:pPr>
            <w:r>
              <w:t xml:space="preserve">The Goodman–Martínez–Thompson correlation, constant 584283. Mainstream, not unanimous.</w:t>
            </w:r>
          </w:p>
        </w:tc>
      </w:tr>
      <w:tr>
        <w:tc>
          <w:tcPr>
            <w:tcW w:w="2400" w:type="dxa"/>
          </w:tcPr>
          <w:p>
            <w:pPr>
              <w:pStyle w:val="TableText"/>
            </w:pPr>
            <w:r>
              <w:t xml:space="preserve">11 Aug 3114 BCE</w:t>
            </w:r>
          </w:p>
        </w:tc>
        <w:tc>
          <w:tcPr>
            <w:tcW w:w="2400" w:type="dxa"/>
          </w:tcPr>
          <w:p>
            <w:pPr>
              <w:pStyle w:val="TableText"/>
            </w:pPr>
            <w:r>
              <w:t xml:space="preserve">Long Count zero under GMT 584283 (6 Sep 3114 BCE Julian); the 584285 variant gives 13 August.</w:t>
            </w:r>
          </w:p>
        </w:tc>
      </w:tr>
      <w:tr>
        <w:tc>
          <w:tcPr>
            <w:tcW w:w="2400" w:type="dxa"/>
          </w:tcPr>
          <w:p>
            <w:pPr>
              <w:pStyle w:val="TableText"/>
            </w:pPr>
            <w:r>
              <w:t xml:space="preserve">21 Dec 2012</w:t>
            </w:r>
          </w:p>
        </w:tc>
        <w:tc>
          <w:tcPr>
            <w:tcW w:w="2400" w:type="dxa"/>
          </w:tcPr>
          <w:p>
            <w:pPr>
              <w:pStyle w:val="TableText"/>
            </w:pPr>
            <w:r>
              <w:t xml:space="preserve">13.0.0.0.0, 4 Ajaw 3 K'ank'in — the anchor this site counts from.</w:t>
            </w:r>
          </w:p>
        </w:tc>
      </w:tr>
      <w:tr>
        <w:tc>
          <w:tcPr>
            <w:tcW w:w="2400" w:type="dxa"/>
          </w:tcPr>
          <w:p>
            <w:pPr>
              <w:pStyle w:val="TableText"/>
            </w:pPr>
            <w:r>
              <w:t xml:space="preserve">1995 / 1996</w:t>
            </w:r>
          </w:p>
        </w:tc>
        <w:tc>
          <w:tcPr>
            <w:tcW w:w="2400" w:type="dxa"/>
          </w:tcPr>
          <w:p>
            <w:pPr>
              <w:pStyle w:val="TableText"/>
            </w:pPr>
            <w:r>
              <w:t xml:space="preserve">Guatemala's Peace Accords recognise Maya spirituality and access to sacred places.</w:t>
            </w:r>
          </w:p>
        </w:tc>
      </w:tr>
    </w:tbl>
    <w:p/>
    <w:p>
      <w:pPr>
        <w:pStyle w:val="Heading2"/>
      </w:pPr>
      <w:r>
        <w:t xml:space="preserve">In the count</w:t>
      </w:r>
    </w:p>
    <w:p>
      <w:r>
        <w:t xml:space="preserve">Chuwen returns </w:t>
      </w:r>
      <w:r>
        <w:rPr>
          <w:b/>
        </w:rPr>
        <w:t xml:space="preserve">every twenty days</w:t>
      </w:r>
      <w:r>
        <w:t xml:space="preserve">, its coefficient seven higher each time, since twenty leaves seven on division by thirteen: 7, 1, 8, 2, 9, 3, 10, 4, 11, 5, 12, 6, 13. Thirteen appearances, </w:t>
      </w:r>
      <w:r>
        <w:rPr>
          <w:b/>
        </w:rPr>
        <w:t xml:space="preserve">260 days</w:t>
      </w:r>
      <w:r>
        <w:t xml:space="preserve">, and the pairing repeats.</w:t>
      </w:r>
    </w:p>
    <w:p>
      <w:r>
        <w:t xml:space="preserve">Upcoming in 2026, on the site's GMT anchor: </w:t>
      </w:r>
      <w:r>
        <w:rPr>
          <w:b/>
        </w:rPr>
        <w:t xml:space="preserve">21 August (3 Chuwen)</w:t>
      </w:r>
      <w:r>
        <w:t xml:space="preserve">, </w:t>
      </w:r>
      <w:r>
        <w:rPr>
          <w:b/>
        </w:rPr>
        <w:t xml:space="preserve">10 September (10 Chuwen)</w:t>
      </w:r>
      <w:r>
        <w:t xml:space="preserve">, </w:t>
      </w:r>
      <w:r>
        <w:rPr>
          <w:b/>
        </w:rPr>
        <w:t xml:space="preserve">30 September (4 Chuwen)</w:t>
      </w:r>
      <w:r>
        <w:t xml:space="preserve">.</w:t>
      </w:r>
    </w:p>
    <w:p>
      <w:r>
        <w:rPr>
          <w:b/>
        </w:rPr>
        <w:t xml:space="preserve">Wajxaqib' B'atz'</w:t>
      </w:r>
      <w:r>
        <w:t xml:space="preserve">, 8 Chuwen, fell on </w:t>
      </w:r>
      <w:r>
        <w:rPr>
          <w:b/>
        </w:rPr>
        <w:t xml:space="preserve">22 June 2026</w:t>
      </w:r>
      <w:r>
        <w:t xml:space="preserve"> by the site's arithmetic; the previous one was </w:t>
      </w:r>
      <w:r>
        <w:rPr>
          <w:b/>
        </w:rPr>
        <w:t xml:space="preserve">5 October 2025</w:t>
      </w:r>
      <w:r>
        <w:t xml:space="preserve"> and the next is </w:t>
      </w:r>
      <w:r>
        <w:rPr>
          <w:b/>
        </w:rPr>
        <w:t xml:space="preserve">9 March 2027</w:t>
      </w:r>
      <w:r>
        <w:t xml:space="preserve">. Communities set their own observance around the day, so treat these as the count's dates rather than as a published programme.</w:t>
      </w:r>
    </w:p>
    <w:p>
      <w:pPr>
        <w:pStyle w:val="Heading2"/>
      </w:pPr>
      <w:r>
        <w:t xml:space="preserve">Related</w:t>
      </w:r>
    </w:p>
    <w:p>
      <w:pPr>
        <w:pStyle w:val="ListParagraph"/>
        <w:numPr>
          <w:ilvl w:val="0"/>
          <w:numId w:val="1"/>
        </w:numPr>
      </w:pPr>
      <w:hyperlink r:id="rId136">
        <w:r>
          <w:rPr>
            <w:color w:val="1F4E79"/>
            <w:u w:val="single"/>
          </w:rPr>
          <w:t xml:space="preserve">Maya Tzolk'in</w:t>
        </w:r>
      </w:hyperlink>
      <w:r>
        <w:t xml:space="preserve"> — the system, the count, and what it is not.</w:t>
      </w:r>
    </w:p>
    <w:p>
      <w:pPr>
        <w:pStyle w:val="ListParagraph"/>
        <w:numPr>
          <w:ilvl w:val="0"/>
          <w:numId w:val="1"/>
        </w:numPr>
      </w:pPr>
      <w:hyperlink r:id="rId137">
        <w:r>
          <w:rPr>
            <w:color w:val="1F4E79"/>
            <w:u w:val="single"/>
          </w:rPr>
          <w:t xml:space="preserve">Ok</w:t>
        </w:r>
      </w:hyperlink>
      <w:r>
        <w:t xml:space="preserve"> — the day before.</w:t>
      </w:r>
    </w:p>
    <w:p>
      <w:pPr>
        <w:pStyle w:val="ListParagraph"/>
        <w:numPr>
          <w:ilvl w:val="0"/>
          <w:numId w:val="1"/>
        </w:numPr>
      </w:pPr>
      <w:hyperlink r:id="rId138">
        <w:r>
          <w:rPr>
            <w:color w:val="1F4E79"/>
            <w:u w:val="single"/>
          </w:rPr>
          <w:t xml:space="preserve">Eb'</w:t>
        </w:r>
      </w:hyperlink>
      <w:r>
        <w:t xml:space="preserve"> — the day after.</w:t>
      </w:r>
    </w:p>
    <w:p>
      <w:pPr>
        <w:pStyle w:val="ListParagraph"/>
        <w:numPr>
          <w:ilvl w:val="0"/>
          <w:numId w:val="1"/>
        </w:numPr>
      </w:pPr>
      <w:hyperlink r:id="rId139">
        <w:r>
          <w:rPr>
            <w:color w:val="1F4E79"/>
            <w:u w:val="single"/>
          </w:rPr>
          <w:t xml:space="preserve">World Zodiacs</w:t>
        </w:r>
      </w:hyperlink>
      <w:r>
        <w:t xml:space="preserve"> · </w:t>
      </w:r>
      <w:hyperlink r:id="rId140">
        <w:r>
          <w:rPr>
            <w:color w:val="1F4E79"/>
            <w:u w:val="single"/>
          </w:rPr>
          <w:t xml:space="preserve">Religion</w:t>
        </w:r>
      </w:hyperlink>
      <w:r>
        <w:t xml:space="preserve"> · </w:t>
      </w:r>
      <w:hyperlink r:id="rId141">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maya/chuwen" TargetMode="External"/><Relationship Id="rId101" Type="http://schemas.openxmlformats.org/officeDocument/2006/relationships/hyperlink" Target="https://www.agoramores.com/tags/mesoamerica" TargetMode="External"/><Relationship Id="rId102" Type="http://schemas.openxmlformats.org/officeDocument/2006/relationships/hyperlink" Target="https://www.agoramores.com/culture/zodiac/maya" TargetMode="External"/><Relationship Id="rId103" Type="http://schemas.openxmlformats.org/officeDocument/2006/relationships/hyperlink" Target="https://www.agoramores.com/culture/zodiac/maya/ajaw" TargetMode="External"/><Relationship Id="rId104" Type="http://schemas.openxmlformats.org/officeDocument/2006/relationships/hyperlink" Target="https://www.agoramores.com/culture/zodiac/maya/akbal" TargetMode="External"/><Relationship Id="rId105" Type="http://schemas.openxmlformats.org/officeDocument/2006/relationships/hyperlink" Target="https://www.agoramores.com/culture/zodiac/maya/ben" TargetMode="External"/><Relationship Id="rId106" Type="http://schemas.openxmlformats.org/officeDocument/2006/relationships/hyperlink" Target="https://www.agoramores.com/culture/zodiac/maya/chikchan" TargetMode="External"/><Relationship Id="rId107" Type="http://schemas.openxmlformats.org/officeDocument/2006/relationships/hyperlink" Target="https://www.agoramores.com/culture/zodiac/maya/eb" TargetMode="External"/><Relationship Id="rId108" Type="http://schemas.openxmlformats.org/officeDocument/2006/relationships/hyperlink" Target="https://www.agoramores.com/tags/maya" TargetMode="External"/><Relationship Id="rId109" Type="http://schemas.openxmlformats.org/officeDocument/2006/relationships/hyperlink" Target="https://www.agoramores.com/culture/zodiac/maya/ik" TargetMode="External"/><Relationship Id="rId110" Type="http://schemas.openxmlformats.org/officeDocument/2006/relationships/hyperlink" Target="https://www.agoramores.com/culture/zodiac/maya/imix" TargetMode="External"/><Relationship Id="rId111" Type="http://schemas.openxmlformats.org/officeDocument/2006/relationships/hyperlink" Target="https://www.agoramores.com/culture/zodiac/maya/ix" TargetMode="External"/><Relationship Id="rId112" Type="http://schemas.openxmlformats.org/officeDocument/2006/relationships/hyperlink" Target="https://www.agoramores.com/culture/zodiac/maya/kan" TargetMode="External"/><Relationship Id="rId113" Type="http://schemas.openxmlformats.org/officeDocument/2006/relationships/hyperlink" Target="https://www.agoramores.com/culture/zodiac/maya/kib" TargetMode="External"/><Relationship Id="rId114" Type="http://schemas.openxmlformats.org/officeDocument/2006/relationships/hyperlink" Target="https://www.agoramores.com/culture/zodiac/maya/kaban" TargetMode="External"/><Relationship Id="rId115" Type="http://schemas.openxmlformats.org/officeDocument/2006/relationships/hyperlink" Target="https://www.agoramores.com/tags/tzolkin" TargetMode="External"/><Relationship Id="rId116" Type="http://schemas.openxmlformats.org/officeDocument/2006/relationships/hyperlink" Target="https://www.agoramores.com/culture/zodiac/maya/kawak" TargetMode="External"/><Relationship Id="rId117" Type="http://schemas.openxmlformats.org/officeDocument/2006/relationships/hyperlink" Target="https://www.agoramores.com/culture/zodiac/maya/manik" TargetMode="External"/><Relationship Id="rId118" Type="http://schemas.openxmlformats.org/officeDocument/2006/relationships/hyperlink" Target="https://www.agoramores.com/culture/zodiac/maya/ok" TargetMode="External"/><Relationship Id="rId119" Type="http://schemas.openxmlformats.org/officeDocument/2006/relationships/hyperlink" Target="https://www.agoramores.com/culture/zodiac/maya/etznab" TargetMode="External"/><Relationship Id="rId120" Type="http://schemas.openxmlformats.org/officeDocument/2006/relationships/hyperlink" Target="https://www.agoramores.com/culture/zodiac/maya/kimi" TargetMode="External"/><Relationship Id="rId121" Type="http://schemas.openxmlformats.org/officeDocument/2006/relationships/hyperlink" Target="https://www.agoramores.com/culture/zodiac/maya/lamat" TargetMode="External"/><Relationship Id="rId122" Type="http://schemas.openxmlformats.org/officeDocument/2006/relationships/hyperlink" Target="https://www.agoramores.com/tags/zodiac" TargetMode="External"/><Relationship Id="rId123" Type="http://schemas.openxmlformats.org/officeDocument/2006/relationships/hyperlink" Target="https://www.agoramores.com/culture/zodiac" TargetMode="External"/><Relationship Id="rId124" Type="http://schemas.openxmlformats.org/officeDocument/2006/relationships/hyperlink" Target="https://www.agoramores.com/culture/zodiac/western" TargetMode="External"/><Relationship Id="rId125" Type="http://schemas.openxmlformats.org/officeDocument/2006/relationships/hyperlink" Target="https://www.agoramores.com/culture/zodiac/western/capricorn" TargetMode="External"/><Relationship Id="rId126" Type="http://schemas.openxmlformats.org/officeDocument/2006/relationships/hyperlink" Target="https://www.agoramores.com/culture/zodiac/western/aquarius" TargetMode="External"/><Relationship Id="rId127" Type="http://schemas.openxmlformats.org/officeDocument/2006/relationships/hyperlink" Target="https://www.agoramores.com/culture/zodiac/celtic" TargetMode="External"/><Relationship Id="rId128" Type="http://schemas.openxmlformats.org/officeDocument/2006/relationships/hyperlink" Target="https://www.agoramores.com/culture/zodiac/vedic" TargetMode="External"/><Relationship Id="rId129" Type="http://schemas.openxmlformats.org/officeDocument/2006/relationships/hyperlink" Target="https://www.agoramores.com/tags/culture" TargetMode="External"/><Relationship Id="rId130" Type="http://schemas.openxmlformats.org/officeDocument/2006/relationships/hyperlink" Target="https://www.agoramores.com/culture/languages" TargetMode="External"/><Relationship Id="rId131" Type="http://schemas.openxmlformats.org/officeDocument/2006/relationships/hyperlink" Target="https://www.agoramores.com/culture" TargetMode="External"/><Relationship Id="rId132" Type="http://schemas.openxmlformats.org/officeDocument/2006/relationships/hyperlink" Target="https://www.agoramores.com/culture/diaspora/arabic-speaking" TargetMode="External"/><Relationship Id="rId133" Type="http://schemas.openxmlformats.org/officeDocument/2006/relationships/hyperlink" Target="https://www.agoramores.com/culture/diaspora/english-speaking" TargetMode="External"/><Relationship Id="rId134" Type="http://schemas.openxmlformats.org/officeDocument/2006/relationships/hyperlink" Target="https://www.agoramores.com/culture/diaspora/bhutanese-nepali-americans" TargetMode="External"/><Relationship Id="rId135" Type="http://schemas.openxmlformats.org/officeDocument/2006/relationships/hyperlink" Target="https://www.agoramores.com/culture/diaspora/somali-speaking" TargetMode="External"/><Relationship Id="rId136" Type="http://schemas.openxmlformats.org/officeDocument/2006/relationships/hyperlink" Target="https://www.agoramores.com/culture/zodiac/maya/portal" TargetMode="External"/><Relationship Id="rId137" Type="http://schemas.openxmlformats.org/officeDocument/2006/relationships/hyperlink" Target="https://www.agoramores.com/culture/zodiac/maya/ok" TargetMode="External"/><Relationship Id="rId138" Type="http://schemas.openxmlformats.org/officeDocument/2006/relationships/hyperlink" Target="https://www.agoramores.com/culture/zodiac/maya/eb" TargetMode="External"/><Relationship Id="rId139" Type="http://schemas.openxmlformats.org/officeDocument/2006/relationships/hyperlink" Target="https://www.agoramores.com/culture/zodiac/portal" TargetMode="External"/><Relationship Id="rId140" Type="http://schemas.openxmlformats.org/officeDocument/2006/relationships/hyperlink" Target="https://www.agoramores.com/religion/portal" TargetMode="External"/><Relationship Id="rId141"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Chuwen</dc:title>
  <dc:creator>Agoramores</dc:creator>
  <cp:keywords>culture, zodiac, tzolkin, maya, mesoamerica</cp:keywords>
  <dcterms:created xsi:type="dcterms:W3CDTF">2026-08-21T01:04:41Z</dcterms:created>
</cp:coreProperties>
</file>