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permanent tattoo ink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https://www.agoramores.com/cosmetics/tattoo-and-body-art/permanent-tattoo-ink</w:t>
        </w:r>
      </w:hyperlink>
    </w:p>
    <w:p>
      <w:pPr>
        <w:pStyle w:val="Subtitle"/>
      </w:pPr>
      <w:r>
        <w:t xml:space="preserve">Tags: cosmetics · tattoo-and-body-art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tattoo-and-body-art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tattoo and body art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henna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temporary tattoo ink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glitter gel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jagua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tattoo aftercare balm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facial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face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body paint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bubble bath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lip gloss</w:t>
        </w:r>
      </w:hyperlink>
    </w:p>
    <w:p>
      <w:pPr>
        <w:pStyle w:val="Heading1"/>
      </w:pPr>
      <w:r>
        <w:t xml:space="preserve">Permanent Tattoo Ink</w:t>
      </w:r>
    </w:p>
    <w:p>
      <w:r>
        <w:t xml:space="preserve">Pigment suspended in a carrier, deposited into the dermis by needle. Tattoo ink sits in
FDA's newest primary category — </w:t>
      </w:r>
      <w:r>
        <w:rPr>
          <w:b/>
        </w:rPr>
        <w:t xml:space="preserve">(16) tattoo preparations</w:t>
      </w:r>
      <w:r>
        <w:t xml:space="preserve">, added by the MoCRA-era
category list and absent from the 1974 regulation — and the regulatory gap it occupies is
the most striking one in this catalogue.</w:t>
      </w:r>
    </w:p>
    <w:p>
      <w:pPr>
        <w:pStyle w:val="Heading2"/>
      </w:pPr>
      <w:r>
        <w:t xml:space="preserve">What it is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Component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Typical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Pigment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Carbon black; </w:t>
            </w:r>
            <w:r>
              <w:rPr>
                <w:b/>
              </w:rPr>
              <w:t xml:space="preserve">azo pigments</w:t>
            </w:r>
            <w:r>
              <w:t xml:space="preserve"> for reds, yellows and oranges; copper phthalocyanines for blues and greens; titanium dioxide for white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Carrier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Water, ethanol, witch hazel, glycerin, propylene glycol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Additives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Surfactants, binders, preservatives</w:t>
            </w:r>
          </w:p>
        </w:tc>
      </w:tr>
    </w:tbl>
    <w:p/>
    <w:p>
      <w:r>
        <w:rPr>
          <w:b/>
        </w:rPr>
        <w:t xml:space="preserve">No colour additive is approved by FDA for injection into the skin.</w:t>
      </w:r>
      <w:r>
        <w:t xml:space="preserve"> The pigments used
are, in the main, </w:t>
      </w:r>
      <w:r>
        <w:rPr>
          <w:b/>
        </w:rPr>
        <w:t xml:space="preserve">industrial colourants</w:t>
      </w:r>
      <w:r>
        <w:t xml:space="preserve"> — the same materials used in printer ink,
automotive paint and textiles — because there is no approved cosmetic palette for this use
and never has been.</w:t>
      </w:r>
    </w:p>
    <w:p>
      <w:pPr>
        <w:pStyle w:val="Heading2"/>
      </w:pPr>
      <w:r>
        <w:t xml:space="preserve">Why the ink stays</w:t>
      </w:r>
    </w:p>
    <w:p>
      <w:r>
        <w:t xml:space="preserve">The needle deposits pigment into the </w:t>
      </w:r>
      <w:r>
        <w:rPr>
          <w:b/>
        </w:rPr>
        <w:t xml:space="preserve">dermis</w:t>
      </w:r>
      <w:r>
        <w:t xml:space="preserve">, below the epidermis that continuously
sheds. Macrophages engulf the particles; some remain in place, and when a pigment-laden
macrophage dies, neighbouring ones take the pigment up again — a </w:t>
      </w:r>
      <w:r>
        <w:rPr>
          <w:b/>
        </w:rPr>
        <w:t xml:space="preserve">capture–release–recapture
cycle</w:t>
      </w:r>
      <w:r>
        <w:t xml:space="preserve"> that is why a tattoo persists for a lifetime while individual cells do not.</w:t>
      </w:r>
    </w:p>
    <w:p>
      <w:r>
        <w:t xml:space="preserve">Pigment also travels: </w:t>
      </w:r>
      <w:r>
        <w:rPr>
          <w:b/>
        </w:rPr>
        <w:t xml:space="preserve">tattoo pigment has been found in regional lymph nodes</w:t>
      </w:r>
      <w:r>
        <w:t xml:space="preserve">, which is a
documented finding rather than a theoretical concern, and is one of the open research
questions in the field.</w:t>
      </w:r>
    </w:p>
    <w:p>
      <w:pPr>
        <w:pStyle w:val="Heading2"/>
      </w:pPr>
      <w:r>
        <w:t xml:space="preserve">The known problems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Allergic reactions</w:t>
      </w:r>
      <w:r>
        <w:t xml:space="preserve">, most often to </w:t>
      </w:r>
      <w:r>
        <w:rPr>
          <w:b/>
        </w:rPr>
        <w:t xml:space="preserve">red pigments</w:t>
      </w:r>
      <w:r>
        <w:t xml:space="preserve"> — historically mercury sulfide,
now azo pigments. They can appear </w:t>
      </w:r>
      <w:r>
        <w:rPr>
          <w:b/>
        </w:rPr>
        <w:t xml:space="preserve">years after the tattoo</w:t>
      </w:r>
      <w:r>
        <w:t xml:space="preserve">, presenting as itching,
swelling and raised plaques confined to one colour.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Infection.</w:t>
      </w:r>
      <w:r>
        <w:t xml:space="preserve"> Bacterial infection from poor technique, and </w:t>
      </w:r>
      <w:r>
        <w:rPr>
          <w:b/>
        </w:rPr>
        <w:t xml:space="preserve">non-tuberculous
mycobacterial outbreaks traced to contaminated ink and to diluting ink with
non-sterile water</w:t>
      </w:r>
      <w:r>
        <w:t xml:space="preserve"> — the latter has produced multi-state outbreaks and FDA advisories.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Granulomas and sarcoid-like reactions.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MRI interaction.</w:t>
      </w:r>
      <w:r>
        <w:t xml:space="preserve"> Rare reports of heating or discomfort, mostly with older
iron-oxide-containing inks.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Obscuring moles</w:t>
      </w:r>
      <w:r>
        <w:t xml:space="preserve">, which makes melanoma harder to detect.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Photosensitivity</w:t>
      </w:r>
      <w:r>
        <w:t xml:space="preserve">, particularly yellow pigments.</w:t>
      </w:r>
    </w:p>
    <w:p>
      <w:pPr>
        <w:pStyle w:val="Heading2"/>
      </w:pPr>
      <w:r>
        <w:t xml:space="preserve">The regulatory gap</w:t>
      </w:r>
    </w:p>
    <w:p>
      <w:r>
        <w:rPr>
          <w:b/>
        </w:rPr>
        <w:t xml:space="preserve">In the US there is no premarket approval of tattoo inks.</w:t>
      </w:r>
      <w:r>
        <w:t xml:space="preserve"> FDA has historically exercised
enforcement discretion, acting on adulteration and contamination rather than approving
pigments.</w:t>
      </w:r>
    </w:p>
    <w:p>
      <w:r>
        <w:rPr>
          <w:b/>
        </w:rPr>
        <w:t xml:space="preserve">MoCRA changed the framework</w:t>
      </w:r>
      <w:r>
        <w:t xml:space="preserve">: tattoo preparations are cosmetics, facilities register
and products are listed with FDA, safety substantiation records must be held, and
</w:t>
      </w:r>
      <w:r>
        <w:rPr>
          <w:b/>
        </w:rPr>
        <w:t xml:space="preserve">serious adverse events are reportable within 15 business days</w:t>
      </w:r>
      <w:r>
        <w:t xml:space="preserve">. FDA has also issued
</w:t>
      </w:r>
      <w:r>
        <w:rPr>
          <w:b/>
        </w:rPr>
        <w:t xml:space="preserve">safety advisories on contaminated inks</w:t>
      </w:r>
      <w:r>
        <w:t xml:space="preserve"> and has recalled specific products.</w:t>
      </w:r>
    </w:p>
    <w:p>
      <w:r>
        <w:t xml:space="preserve">The EU went much further. </w:t>
      </w:r>
      <w:r>
        <w:rPr>
          <w:b/>
        </w:rPr>
        <w:t xml:space="preserve">REACH restriction entry 75, in force from January 2022</w:t>
      </w:r>
      <w:r>
        <w:t xml:space="preserve">,
restricts a long list of hazardous substances in tattoo inks and permanent make-up,
including many azo pigments and their cleavage products, with concentration limits — and
it removed </w:t>
      </w:r>
      <w:r>
        <w:rPr>
          <w:b/>
        </w:rPr>
        <w:t xml:space="preserve">Pigment Blue 15:3 and Pigment Green 7</w:t>
      </w:r>
      <w:r>
        <w:t xml:space="preserve"> from lawful use after a transition
period, which materially changed the European colour palette.</w:t>
      </w:r>
    </w:p>
    <w:p>
      <w:pPr>
        <w:pStyle w:val="Heading2"/>
      </w:pPr>
      <w:r>
        <w:t xml:space="preserve">Practical advice</w:t>
      </w:r>
    </w:p>
    <w:p>
      <w:r>
        <w:t xml:space="preserve">Use a licensed studio; </w:t>
      </w:r>
      <w:r>
        <w:rPr>
          <w:b/>
        </w:rPr>
        <w:t xml:space="preserve">licensing and sanitation are state-level</w:t>
      </w:r>
      <w:r>
        <w:t xml:space="preserve"> in the US and are the
practical protection. Ask about ink brands and check they are not subject to a recall.
</w:t>
      </w:r>
      <w:r>
        <w:rPr>
          <w:b/>
        </w:rPr>
        <w:t xml:space="preserve">Sterile single-use needles, gloves, and ink poured into single-use caps</w:t>
      </w:r>
      <w:r>
        <w:t xml:space="preserve"> are
non-negotiable. </w:t>
      </w:r>
      <w:r>
        <w:rPr>
          <w:b/>
        </w:rPr>
        <w:t xml:space="preserve">Never let anyone dilute ink with tap or bottled water</w:t>
      </w:r>
      <w:r>
        <w:t xml:space="preserve"> — that is the
documented route to mycobacterial infection.</w:t>
      </w:r>
    </w:p>
    <w:p>
      <w:r>
        <w:t xml:space="preserve">Patch testing is not reliable for tattoo reactions, and the honest position is that a
tattoo carries an irreducible small risk.</w:t>
      </w:r>
    </w:p>
    <w:p>
      <w:pPr>
        <w:pStyle w:val="Heading2"/>
      </w:pPr>
      <w:r>
        <w:t xml:space="preserve">Shelf life</w:t>
      </w:r>
    </w:p>
    <w:p>
      <w:r>
        <w:t xml:space="preserve">Inks carry manufacturer dates. </w:t>
      </w:r>
      <w:r>
        <w:rPr>
          <w:b/>
        </w:rPr>
        <w:t xml:space="preserve">Once opened, a bottle is a contamination risk</w:t>
      </w:r>
      <w:r>
        <w:t xml:space="preserve">, and
professional practice is to pour into single-use caps and never return ink to the bottle.
Discard anything past its date, anything that has separated and will not remix, and
anything subject to a recall.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Tattoo and Body Art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Inks</w:t>
      </w:r>
      <w:r>
        <w:t xml:space="preserve"> — </w:t>
      </w:r>
      <w:hyperlink r:id="rId117">
        <w:r>
          <w:rPr>
            <w:color w:val="1F4E79"/>
            <w:u w:val="single"/>
          </w:rPr>
          <w:t xml:space="preserve">Temporary Tattoo Ink</w:t>
        </w:r>
      </w:hyperlink>
      <w:r>
        <w:t xml:space="preserve"> · </w:t>
      </w:r>
      <w:hyperlink r:id="rId118">
        <w:r>
          <w:rPr>
            <w:color w:val="1F4E79"/>
            <w:u w:val="single"/>
          </w:rPr>
          <w:t xml:space="preserve">Permanent Makeup Pigment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Tattoo Aftercare Balm</w:t>
        </w:r>
      </w:hyperlink>
      <w:r>
        <w:t xml:space="preserve"> — what comes next.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0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tattoo-and-body-art/permanent-tattoo-ink" TargetMode="External"/><Relationship Id="rId101" Type="http://schemas.openxmlformats.org/officeDocument/2006/relationships/hyperlink" Target="https://www.agoramores.com/tags/tattoo-and-body-art" TargetMode="External"/><Relationship Id="rId102" Type="http://schemas.openxmlformats.org/officeDocument/2006/relationships/hyperlink" Target="https://www.agoramores.com/cosmetics/tattoo-and-body-art" TargetMode="External"/><Relationship Id="rId103" Type="http://schemas.openxmlformats.org/officeDocument/2006/relationships/hyperlink" Target="https://www.agoramores.com/cosmetics/tattoo-and-body-art/henna" TargetMode="External"/><Relationship Id="rId104" Type="http://schemas.openxmlformats.org/officeDocument/2006/relationships/hyperlink" Target="https://www.agoramores.com/cosmetics/tattoo-and-body-art/temporary-tattoo-ink" TargetMode="External"/><Relationship Id="rId105" Type="http://schemas.openxmlformats.org/officeDocument/2006/relationships/hyperlink" Target="https://www.agoramores.com/cosmetics/tattoo-and-body-art/glitter-gel" TargetMode="External"/><Relationship Id="rId106" Type="http://schemas.openxmlformats.org/officeDocument/2006/relationships/hyperlink" Target="https://www.agoramores.com/cosmetics/tattoo-and-body-art/jagua" TargetMode="External"/><Relationship Id="rId107" Type="http://schemas.openxmlformats.org/officeDocument/2006/relationships/hyperlink" Target="https://www.agoramores.com/cosmetics/tattoo-and-body-art/tattoo-aftercare-balm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makeup/lash-primer" TargetMode="External"/><Relationship Id="rId110" Type="http://schemas.openxmlformats.org/officeDocument/2006/relationships/hyperlink" Target="https://www.agoramores.com/cosmetics/skincare/facial-oil" TargetMode="External"/><Relationship Id="rId111" Type="http://schemas.openxmlformats.org/officeDocument/2006/relationships/hyperlink" Target="https://www.agoramores.com/cosmetics/makeup/face-powder" TargetMode="External"/><Relationship Id="rId112" Type="http://schemas.openxmlformats.org/officeDocument/2006/relationships/hyperlink" Target="https://www.agoramores.com/cosmetics/makeup/body-paint" TargetMode="External"/><Relationship Id="rId113" Type="http://schemas.openxmlformats.org/officeDocument/2006/relationships/hyperlink" Target="https://www.agoramores.com/cosmetics/bath-and-body/bubble-bath" TargetMode="External"/><Relationship Id="rId114" Type="http://schemas.openxmlformats.org/officeDocument/2006/relationships/hyperlink" Target="https://www.agoramores.com/cosmetics/makeup/lip-gloss" TargetMode="External"/><Relationship Id="rId115" Type="http://schemas.openxmlformats.org/officeDocument/2006/relationships/hyperlink" Target="https://www.agoramores.com/cosmetics/tattoo-and-body-art/portal" TargetMode="External"/><Relationship Id="rId116" Type="http://schemas.openxmlformats.org/officeDocument/2006/relationships/hyperlink" Target="https://www.agoramores.com/cosmetics/portal" TargetMode="External"/><Relationship Id="rId117" Type="http://schemas.openxmlformats.org/officeDocument/2006/relationships/hyperlink" Target="https://www.agoramores.com/cosmetics/tattoo-and-body-art/temporary-tattoo-ink" TargetMode="External"/><Relationship Id="rId118" Type="http://schemas.openxmlformats.org/officeDocument/2006/relationships/hyperlink" Target="https://www.agoramores.com/cosmetics/tattoo-and-body-art/permanent-makeup-pigment" TargetMode="External"/><Relationship Id="rId119" Type="http://schemas.openxmlformats.org/officeDocument/2006/relationships/hyperlink" Target="https://www.agoramores.com/cosmetics/tattoo-and-body-art/tattoo-aftercare-balm" TargetMode="External"/><Relationship Id="rId120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permanent tattoo ink</dc:title>
  <dc:creator>Agoramores</dc:creator>
  <cp:keywords>cosmetics, tattoo-and-body-art</cp:keywords>
  <dcterms:created xsi:type="dcterms:W3CDTF">2026-08-22T04:15:50Z</dcterms:created>
</cp:coreProperties>
</file>