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chemical exfoliant</w:t>
      </w:r>
    </w:p>
    <w:p>
      <w:pPr>
        <w:pStyle w:val="Subtitle"/>
      </w:pPr>
      <w:hyperlink r:id="rId100">
        <w:r>
          <w:rPr>
            <w:color w:val="1F4E79"/>
            <w:u w:val="single"/>
          </w:rPr>
          <w:t xml:space="preserve">https://www.agoramores.com/cosmetics/skincare/chemical-exfoliant</w:t>
        </w:r>
      </w:hyperlink>
    </w:p>
    <w:p>
      <w:pPr>
        <w:pStyle w:val="Subtitle"/>
      </w:pPr>
      <w:r>
        <w:t xml:space="preserve">Tags: cosmetics · skincare</w:t>
      </w:r>
    </w:p>
    <w:p>
      <w:pPr>
        <w:pBdr>
          <w:bottom w:val="single" w:sz="6" w:space="1" w:color="808080"/>
        </w:pBdr>
      </w:pPr>
    </w:p>
    <w:p>
      <w:pPr>
        <w:pStyle w:val="Heading1"/>
      </w:pPr>
      <w:r>
        <w:t xml:space="preserve">Related</w:t>
      </w:r>
    </w:p>
    <w:p>
      <w:pPr>
        <w:pStyle w:val="Heading2"/>
      </w:pPr>
      <w:hyperlink r:id="rId101">
        <w:r>
          <w:rPr>
            <w:color w:val="1F4E79"/>
            <w:u w:val="single"/>
          </w:rPr>
          <w:t xml:space="preserve">skincare</w:t>
        </w:r>
      </w:hyperlink>
    </w:p>
    <w:p>
      <w:pPr>
        <w:pStyle w:val="ListParagraph"/>
        <w:numPr>
          <w:ilvl w:val="0"/>
          <w:numId w:val="1"/>
        </w:numPr>
      </w:pPr>
      <w:hyperlink r:id="rId102">
        <w:r>
          <w:rPr>
            <w:color w:val="1F4E79"/>
            <w:u w:val="single"/>
          </w:rPr>
          <w:t xml:space="preserve">facial oil</w:t>
        </w:r>
      </w:hyperlink>
    </w:p>
    <w:p>
      <w:pPr>
        <w:pStyle w:val="ListParagraph"/>
        <w:numPr>
          <w:ilvl w:val="0"/>
          <w:numId w:val="1"/>
        </w:numPr>
      </w:pPr>
      <w:hyperlink r:id="rId103">
        <w:r>
          <w:rPr>
            <w:color w:val="1F4E79"/>
            <w:u w:val="single"/>
          </w:rPr>
          <w:t xml:space="preserve">skincare</w:t>
        </w:r>
      </w:hyperlink>
    </w:p>
    <w:p>
      <w:pPr>
        <w:pStyle w:val="ListParagraph"/>
        <w:numPr>
          <w:ilvl w:val="0"/>
          <w:numId w:val="1"/>
        </w:numPr>
      </w:pPr>
      <w:hyperlink r:id="rId104">
        <w:r>
          <w:rPr>
            <w:color w:val="1F4E79"/>
            <w:u w:val="single"/>
          </w:rPr>
          <w:t xml:space="preserve">body lotion</w:t>
        </w:r>
      </w:hyperlink>
    </w:p>
    <w:p>
      <w:pPr>
        <w:pStyle w:val="ListParagraph"/>
        <w:numPr>
          <w:ilvl w:val="0"/>
          <w:numId w:val="1"/>
        </w:numPr>
      </w:pPr>
      <w:hyperlink r:id="rId105">
        <w:r>
          <w:rPr>
            <w:color w:val="1F4E79"/>
            <w:u w:val="single"/>
          </w:rPr>
          <w:t xml:space="preserve">body oil</w:t>
        </w:r>
      </w:hyperlink>
    </w:p>
    <w:p>
      <w:pPr>
        <w:pStyle w:val="ListParagraph"/>
        <w:numPr>
          <w:ilvl w:val="0"/>
          <w:numId w:val="1"/>
        </w:numPr>
      </w:pPr>
      <w:hyperlink r:id="rId106">
        <w:r>
          <w:rPr>
            <w:color w:val="1F4E79"/>
            <w:u w:val="single"/>
          </w:rPr>
          <w:t xml:space="preserve">brightening treatment</w:t>
        </w:r>
      </w:hyperlink>
    </w:p>
    <w:p>
      <w:pPr>
        <w:pStyle w:val="ListParagraph"/>
        <w:numPr>
          <w:ilvl w:val="0"/>
          <w:numId w:val="1"/>
        </w:numPr>
      </w:pPr>
      <w:hyperlink r:id="rId107">
        <w:r>
          <w:rPr>
            <w:color w:val="1F4E79"/>
            <w:u w:val="single"/>
          </w:rPr>
          <w:t xml:space="preserve">occlusive balm</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lash primer</w:t>
        </w:r>
      </w:hyperlink>
    </w:p>
    <w:p>
      <w:pPr>
        <w:pStyle w:val="ListParagraph"/>
        <w:numPr>
          <w:ilvl w:val="0"/>
          <w:numId w:val="1"/>
        </w:numPr>
      </w:pPr>
      <w:hyperlink r:id="rId110">
        <w:r>
          <w:rPr>
            <w:color w:val="1F4E79"/>
            <w:u w:val="single"/>
          </w:rPr>
          <w:t xml:space="preserve">face powder</w:t>
        </w:r>
      </w:hyperlink>
    </w:p>
    <w:p>
      <w:pPr>
        <w:pStyle w:val="ListParagraph"/>
        <w:numPr>
          <w:ilvl w:val="0"/>
          <w:numId w:val="1"/>
        </w:numPr>
      </w:pPr>
      <w:hyperlink r:id="rId111">
        <w:r>
          <w:rPr>
            <w:color w:val="1F4E79"/>
            <w:u w:val="single"/>
          </w:rPr>
          <w:t xml:space="preserve">body paint</w:t>
        </w:r>
      </w:hyperlink>
    </w:p>
    <w:p>
      <w:pPr>
        <w:pStyle w:val="ListParagraph"/>
        <w:numPr>
          <w:ilvl w:val="0"/>
          <w:numId w:val="1"/>
        </w:numPr>
      </w:pPr>
      <w:hyperlink r:id="rId112">
        <w:r>
          <w:rPr>
            <w:color w:val="1F4E79"/>
            <w:u w:val="single"/>
          </w:rPr>
          <w:t xml:space="preserve">bubble bath</w:t>
        </w:r>
      </w:hyperlink>
    </w:p>
    <w:p>
      <w:pPr>
        <w:pStyle w:val="ListParagraph"/>
        <w:numPr>
          <w:ilvl w:val="0"/>
          <w:numId w:val="1"/>
        </w:numPr>
      </w:pPr>
      <w:hyperlink r:id="rId113">
        <w:r>
          <w:rPr>
            <w:color w:val="1F4E79"/>
            <w:u w:val="single"/>
          </w:rPr>
          <w:t xml:space="preserve">lip gloss</w:t>
        </w:r>
      </w:hyperlink>
    </w:p>
    <w:p>
      <w:pPr>
        <w:pStyle w:val="ListParagraph"/>
        <w:numPr>
          <w:ilvl w:val="0"/>
          <w:numId w:val="1"/>
        </w:numPr>
      </w:pPr>
      <w:hyperlink r:id="rId114">
        <w:r>
          <w:rPr>
            <w:color w:val="1F4E79"/>
            <w:u w:val="single"/>
          </w:rPr>
          <w:t xml:space="preserve">mineral sunscreen</w:t>
        </w:r>
      </w:hyperlink>
    </w:p>
    <w:p>
      <w:pPr>
        <w:pStyle w:val="Heading1"/>
      </w:pPr>
      <w:r>
        <w:t xml:space="preserve">Chemical Exfoliant</w:t>
      </w:r>
    </w:p>
    <w:p>
      <w:r>
        <w:t xml:space="preserve">An acid that loosens the bonds holding dead cells to the skin surface, so they shed
rather than being scraped off. This is the category with the most active chemistry in
mainstream skincare and the one where </w:t>
      </w:r>
      <w:r>
        <w:rPr>
          <w:b/>
        </w:rPr>
        <w:t xml:space="preserve">concentration and pH together</w:t>
      </w:r>
      <w:r>
        <w:t xml:space="preserve"> — not
concentration alone — decide what actually happens.</w:t>
      </w:r>
    </w:p>
    <w:p>
      <w:pPr>
        <w:pStyle w:val="Heading2"/>
      </w:pPr>
      <w:r>
        <w:t xml:space="preserve">The three families</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Family</w:t>
            </w:r>
          </w:p>
        </w:tc>
        <w:tc>
          <w:tcPr>
            <w:tcW w:w="2400" w:type="dxa"/>
          </w:tcPr>
          <w:p>
            <w:pPr>
              <w:pStyle w:val="TableText"/>
            </w:pPr>
            <w:r>
              <w:rPr>
                <w:b/>
              </w:rPr>
              <w:t xml:space="preserve">Members</w:t>
            </w:r>
          </w:p>
        </w:tc>
        <w:tc>
          <w:tcPr>
            <w:tcW w:w="2400" w:type="dxa"/>
          </w:tcPr>
          <w:p>
            <w:pPr>
              <w:pStyle w:val="TableText"/>
            </w:pPr>
            <w:r>
              <w:rPr>
                <w:b/>
              </w:rPr>
              <w:t xml:space="preserve">Solubility</w:t>
            </w:r>
          </w:p>
        </w:tc>
        <w:tc>
          <w:tcPr>
            <w:tcW w:w="2400" w:type="dxa"/>
          </w:tcPr>
          <w:p>
            <w:pPr>
              <w:pStyle w:val="TableText"/>
            </w:pPr>
            <w:r>
              <w:rPr>
                <w:b/>
              </w:rPr>
              <w:t xml:space="preserve">Reaches</w:t>
            </w:r>
          </w:p>
        </w:tc>
      </w:tr>
      <w:tr>
        <w:tc>
          <w:tcPr>
            <w:tcW w:w="2400" w:type="dxa"/>
          </w:tcPr>
          <w:p>
            <w:pPr>
              <w:pStyle w:val="TableText"/>
            </w:pPr>
            <w:r>
              <w:rPr>
                <w:b/>
              </w:rPr>
              <w:t xml:space="preserve">AHA</w:t>
            </w:r>
            <w:r>
              <w:t xml:space="preserve"> — alpha hydroxy acid</w:t>
            </w:r>
          </w:p>
        </w:tc>
        <w:tc>
          <w:tcPr>
            <w:tcW w:w="2400" w:type="dxa"/>
          </w:tcPr>
          <w:p>
            <w:pPr>
              <w:pStyle w:val="TableText"/>
            </w:pPr>
            <w:r>
              <w:t xml:space="preserve">Glycolic, lactic, mandelic, malic, tartaric</w:t>
            </w:r>
          </w:p>
        </w:tc>
        <w:tc>
          <w:tcPr>
            <w:tcW w:w="2400" w:type="dxa"/>
          </w:tcPr>
          <w:p>
            <w:pPr>
              <w:pStyle w:val="TableText"/>
            </w:pPr>
            <w:r>
              <w:t xml:space="preserve">Water-soluble</w:t>
            </w:r>
          </w:p>
        </w:tc>
        <w:tc>
          <w:tcPr>
            <w:tcW w:w="2400" w:type="dxa"/>
          </w:tcPr>
          <w:p>
            <w:pPr>
              <w:pStyle w:val="TableText"/>
            </w:pPr>
            <w:r>
              <w:t xml:space="preserve">Skin surface</w:t>
            </w:r>
          </w:p>
        </w:tc>
      </w:tr>
      <w:tr>
        <w:tc>
          <w:tcPr>
            <w:tcW w:w="2400" w:type="dxa"/>
          </w:tcPr>
          <w:p>
            <w:pPr>
              <w:pStyle w:val="TableText"/>
            </w:pPr>
            <w:r>
              <w:rPr>
                <w:b/>
              </w:rPr>
              <w:t xml:space="preserve">BHA</w:t>
            </w:r>
            <w:r>
              <w:t xml:space="preserve"> — beta hydroxy acid</w:t>
            </w:r>
          </w:p>
        </w:tc>
        <w:tc>
          <w:tcPr>
            <w:tcW w:w="2400" w:type="dxa"/>
          </w:tcPr>
          <w:p>
            <w:pPr>
              <w:pStyle w:val="TableText"/>
            </w:pPr>
            <w:r>
              <w:t xml:space="preserve">Salicylic acid</w:t>
            </w:r>
          </w:p>
        </w:tc>
        <w:tc>
          <w:tcPr>
            <w:tcW w:w="2400" w:type="dxa"/>
          </w:tcPr>
          <w:p>
            <w:pPr>
              <w:pStyle w:val="TableText"/>
            </w:pPr>
            <w:r>
              <w:t xml:space="preserve">Oil-soluble</w:t>
            </w:r>
          </w:p>
        </w:tc>
        <w:tc>
          <w:tcPr>
            <w:tcW w:w="2400" w:type="dxa"/>
          </w:tcPr>
          <w:p>
            <w:pPr>
              <w:pStyle w:val="TableText"/>
            </w:pPr>
            <w:r>
              <w:t xml:space="preserve">Into the pore lining</w:t>
            </w:r>
          </w:p>
        </w:tc>
      </w:tr>
      <w:tr>
        <w:tc>
          <w:tcPr>
            <w:tcW w:w="2400" w:type="dxa"/>
          </w:tcPr>
          <w:p>
            <w:pPr>
              <w:pStyle w:val="TableText"/>
            </w:pPr>
            <w:r>
              <w:rPr>
                <w:b/>
              </w:rPr>
              <w:t xml:space="preserve">PHA</w:t>
            </w:r>
            <w:r>
              <w:t xml:space="preserve"> — polyhydroxy acid</w:t>
            </w:r>
          </w:p>
        </w:tc>
        <w:tc>
          <w:tcPr>
            <w:tcW w:w="2400" w:type="dxa"/>
          </w:tcPr>
          <w:p>
            <w:pPr>
              <w:pStyle w:val="TableText"/>
            </w:pPr>
            <w:r>
              <w:t xml:space="preserve">Gluconolactone, lactobionic acid</w:t>
            </w:r>
          </w:p>
        </w:tc>
        <w:tc>
          <w:tcPr>
            <w:tcW w:w="2400" w:type="dxa"/>
          </w:tcPr>
          <w:p>
            <w:pPr>
              <w:pStyle w:val="TableText"/>
            </w:pPr>
            <w:r>
              <w:t xml:space="preserve">Water-soluble, large molecule</w:t>
            </w:r>
          </w:p>
        </w:tc>
        <w:tc>
          <w:tcPr>
            <w:tcW w:w="2400" w:type="dxa"/>
          </w:tcPr>
          <w:p>
            <w:pPr>
              <w:pStyle w:val="TableText"/>
            </w:pPr>
            <w:r>
              <w:t xml:space="preserve">Surface, slowly</w:t>
            </w:r>
          </w:p>
        </w:tc>
      </w:tr>
    </w:tbl>
    <w:p/>
    <w:p>
      <w:r>
        <w:rPr>
          <w:b/>
        </w:rPr>
        <w:t xml:space="preserve">Molecule size drives penetration.</w:t>
      </w:r>
      <w:r>
        <w:t xml:space="preserve"> Glycolic acid is the smallest AHA and goes
deepest — most effective and most irritating. Lactic is larger and gentler and is
also a natural moisturising factor, so it hydrates as it exfoliates. Mandelic is
larger still, slow, and the usual choice on darker skin tones where post-inflammatory
hyperpigmentation is the risk being managed. PHAs are the largest and mildest, and
the sensible starting point for rosacea-prone or reactive skin.</w:t>
      </w:r>
    </w:p>
    <w:p>
      <w:r>
        <w:rPr>
          <w:b/>
        </w:rPr>
        <w:t xml:space="preserve">Salicylic acid is the odd one out and the reason is solubility.</w:t>
      </w:r>
      <w:r>
        <w:t xml:space="preserve"> Being
oil-soluble, it partitions into sebum and works inside the follicle, which is why it
is the acid for congestion, blackheads and closed comedones while AHAs are the acids
for texture and tone.</w:t>
      </w:r>
    </w:p>
    <w:p>
      <w:pPr>
        <w:pStyle w:val="Heading2"/>
      </w:pPr>
      <w:r>
        <w:t xml:space="preserve">pH, and why a 10% product can do nothing</w:t>
      </w:r>
    </w:p>
    <w:p>
      <w:r>
        <w:t xml:space="preserve">An acid only exfoliates in its </w:t>
      </w:r>
      <w:r>
        <w:rPr>
          <w:b/>
        </w:rPr>
        <w:t xml:space="preserve">free acid</w:t>
      </w:r>
      <w:r>
        <w:t xml:space="preserve"> form. Raise the pH toward its pKa and
more of it is neutralised into a salt that does not work. A 10% glycolic serum
buffered to pH 5 is far weaker than a 5% one at pH 3.5. Free-acid value is the number
that predicts the result, and almost nobody prints it. In practice, pH 3.0–4.0 is the
working window for AHAs, and below pH 3.0 irritation rises faster than benefit.</w:t>
      </w:r>
    </w:p>
    <w:p>
      <w:pPr>
        <w:pStyle w:val="Heading2"/>
      </w:pPr>
      <w:r>
        <w:t xml:space="preserve">Using it</w:t>
      </w:r>
    </w:p>
    <w:p>
      <w:pPr>
        <w:pStyle w:val="ListParagraph"/>
        <w:numPr>
          <w:ilvl w:val="0"/>
          <w:numId w:val="1"/>
        </w:numPr>
      </w:pPr>
      <w:r>
        <w:rPr>
          <w:b/>
        </w:rPr>
        <w:t xml:space="preserve">Start at one to two nights a week</w:t>
      </w:r>
      <w:r>
        <w:t xml:space="preserve"> and build. Almost every acid injury is a
frequency injury.</w:t>
      </w:r>
    </w:p>
    <w:p>
      <w:pPr>
        <w:pStyle w:val="ListParagraph"/>
        <w:numPr>
          <w:ilvl w:val="0"/>
          <w:numId w:val="1"/>
        </w:numPr>
      </w:pPr>
      <w:r>
        <w:rPr>
          <w:b/>
        </w:rPr>
        <w:t xml:space="preserve">Sun sensitivity is not a rumour.</w:t>
      </w:r>
      <w:r>
        <w:t xml:space="preserve"> AHAs increase UV sensitivity, and US products
containing them are expected to carry a sunburn-alert statement — daily
</w:t>
      </w:r>
      <w:hyperlink r:id="rId115">
        <w:r>
          <w:rPr>
            <w:color w:val="1F4E79"/>
            <w:u w:val="single"/>
          </w:rPr>
          <w:t xml:space="preserve">Facial Sunscreen</w:t>
        </w:r>
      </w:hyperlink>
      <w:r>
        <w:t xml:space="preserve"> is not optional
alongside them.</w:t>
      </w:r>
    </w:p>
    <w:p>
      <w:pPr>
        <w:pStyle w:val="ListParagraph"/>
        <w:numPr>
          <w:ilvl w:val="0"/>
          <w:numId w:val="1"/>
        </w:numPr>
      </w:pPr>
      <w:r>
        <w:rPr>
          <w:b/>
        </w:rPr>
        <w:t xml:space="preserve">Do not stack.</w:t>
      </w:r>
      <w:r>
        <w:t xml:space="preserve"> An acid plus a </w:t>
      </w:r>
      <w:hyperlink r:id="rId116">
        <w:r>
          <w:rPr>
            <w:color w:val="1F4E79"/>
            <w:u w:val="single"/>
          </w:rPr>
          <w:t xml:space="preserve">Retinoid Treatment</w:t>
        </w:r>
      </w:hyperlink>
      <w:r>
        <w:t xml:space="preserve">
plus a </w:t>
      </w:r>
      <w:hyperlink r:id="rId117">
        <w:r>
          <w:rPr>
            <w:color w:val="1F4E79"/>
            <w:u w:val="single"/>
          </w:rPr>
          <w:t xml:space="preserve">Facial Scrub</w:t>
        </w:r>
      </w:hyperlink>
      <w:r>
        <w:t xml:space="preserve"> in one routine is three
exfoliating mechanisms competing for one barrier.</w:t>
      </w:r>
    </w:p>
    <w:p>
      <w:pPr>
        <w:pStyle w:val="ListParagraph"/>
        <w:numPr>
          <w:ilvl w:val="0"/>
          <w:numId w:val="1"/>
        </w:numPr>
      </w:pPr>
      <w:r>
        <w:rPr>
          <w:b/>
        </w:rPr>
        <w:t xml:space="preserve">Stinging that lasts is damage.</w:t>
      </w:r>
      <w:r>
        <w:t xml:space="preserve"> A few seconds of tingle is normal; burning,
weeping or persistent flushing is not.</w:t>
      </w:r>
    </w:p>
    <w:p>
      <w:pPr>
        <w:pStyle w:val="Heading2"/>
      </w:pPr>
      <w:r>
        <w:t xml:space="preserve">Where it sits in the rules</w:t>
      </w:r>
    </w:p>
    <w:p>
      <w:r>
        <w:t xml:space="preserve">This is the clearest cosmetic/drug boundary in skincare. </w:t>
      </w:r>
      <w:r>
        <w:rPr>
          <w:b/>
        </w:rPr>
        <w:t xml:space="preserve">Exfoliating, smoothing and
brightening claims keep a product cosmetic</w:t>
      </w:r>
      <w:r>
        <w:t xml:space="preserve"> — FDA primary category (14). Salicylic
acid at 0.5–2% with an </w:t>
      </w:r>
      <w:r>
        <w:rPr>
          <w:b/>
        </w:rPr>
        <w:t xml:space="preserve">acne claim</w:t>
      </w:r>
      <w:r>
        <w:t xml:space="preserve"> puts it under the OTC acne monograph, making it
a drug: Drug Facts panel, active ingredient listed first, expiration date. The same
molecule at the same strength can be either, depending entirely on what the label
says it does.</w:t>
      </w:r>
    </w:p>
    <w:p>
      <w:r>
        <w:t xml:space="preserve">FDA's guidance on AHA-containing cosmetics recommends a </w:t>
      </w:r>
      <w:r>
        <w:rPr>
          <w:b/>
        </w:rPr>
        <w:t xml:space="preserve">free acid concentration of
10% or less, a final pH of 3.5 or greater</w:t>
      </w:r>
      <w:r>
        <w:t xml:space="preserve">, and sun-protection labelling. It is
guidance, not a binding limit. Professional peels at higher strengths are outside the
consumer product framework. In the EU, glycolic and lactic acid for consumer use are
restricted through Annex III with concentration and pH conditions, and stronger
formulations are reserved for professional use.</w:t>
      </w:r>
    </w:p>
    <w:p>
      <w:pPr>
        <w:pStyle w:val="Heading2"/>
      </w:pPr>
      <w:r>
        <w:t xml:space="preserve">Shelf life</w:t>
      </w:r>
    </w:p>
    <w:p>
      <w:r>
        <w:t xml:space="preserve">Acids are stable, but the </w:t>
      </w:r>
      <w:r>
        <w:rPr>
          <w:b/>
        </w:rPr>
        <w:t xml:space="preserve">pH of the finished formula drifts</w:t>
      </w:r>
      <w:r>
        <w:t xml:space="preserve"> and packaging
matters more than the acid does. Twelve months after opening. Discoloration in an
ascorbic-acid-containing blend, or a product that has thinned dramatically, has
changed and should go.</w:t>
      </w:r>
    </w:p>
    <w:p>
      <w:pPr>
        <w:pStyle w:val="Heading2"/>
      </w:pPr>
      <w:r>
        <w:t xml:space="preserve">Related</w:t>
      </w:r>
    </w:p>
    <w:p>
      <w:pPr>
        <w:pStyle w:val="ListParagraph"/>
        <w:numPr>
          <w:ilvl w:val="0"/>
          <w:numId w:val="1"/>
        </w:numPr>
      </w:pPr>
      <w:hyperlink r:id="rId118">
        <w:r>
          <w:rPr>
            <w:color w:val="1F4E79"/>
            <w:u w:val="single"/>
          </w:rPr>
          <w:t xml:space="preserve">Skincare</w:t>
        </w:r>
      </w:hyperlink>
      <w:r>
        <w:t xml:space="preserve"> — the shelf this sits on, and the rest of it.</w:t>
      </w:r>
    </w:p>
    <w:p>
      <w:pPr>
        <w:pStyle w:val="ListParagraph"/>
        <w:numPr>
          <w:ilvl w:val="0"/>
          <w:numId w:val="1"/>
        </w:numPr>
      </w:pPr>
      <w:hyperlink r:id="rId119">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Exfoliating</w:t>
      </w:r>
      <w:r>
        <w:t xml:space="preserve"> — </w:t>
      </w:r>
      <w:hyperlink r:id="rId120">
        <w:r>
          <w:rPr>
            <w:color w:val="1F4E79"/>
            <w:u w:val="single"/>
          </w:rPr>
          <w:t xml:space="preserve">Facial Scrub</w:t>
        </w:r>
      </w:hyperlink>
      <w:r>
        <w:t xml:space="preserve"> · </w:t>
      </w:r>
      <w:hyperlink r:id="rId121">
        <w:r>
          <w:rPr>
            <w:color w:val="1F4E79"/>
            <w:u w:val="single"/>
          </w:rPr>
          <w:t xml:space="preserve">Enzyme Peel</w:t>
        </w:r>
      </w:hyperlink>
      <w:r>
        <w:t xml:space="preserve">.</w:t>
      </w:r>
    </w:p>
    <w:p>
      <w:pPr>
        <w:pStyle w:val="ListParagraph"/>
        <w:numPr>
          <w:ilvl w:val="0"/>
          <w:numId w:val="1"/>
        </w:numPr>
      </w:pPr>
      <w:hyperlink r:id="rId122">
        <w:r>
          <w:rPr>
            <w:color w:val="1F4E79"/>
            <w:u w:val="single"/>
          </w:rPr>
          <w:t xml:space="preserve">Toner</w:t>
        </w:r>
      </w:hyperlink>
      <w:r>
        <w:t xml:space="preserve"> · </w:t>
      </w:r>
      <w:hyperlink r:id="rId123">
        <w:r>
          <w:rPr>
            <w:color w:val="1F4E79"/>
            <w:u w:val="single"/>
          </w:rPr>
          <w:t xml:space="preserve">Facial Serum</w:t>
        </w:r>
      </w:hyperlink>
      <w:r>
        <w:t xml:space="preserve"> — the two formats these acids are usually sold in.</w:t>
      </w:r>
    </w:p>
    <w:p>
      <w:pPr>
        <w:pStyle w:val="ListParagraph"/>
        <w:numPr>
          <w:ilvl w:val="0"/>
          <w:numId w:val="1"/>
        </w:numPr>
      </w:pPr>
      <w:hyperlink r:id="rId124">
        <w:r>
          <w:rPr>
            <w:color w:val="1F4E79"/>
            <w:u w:val="single"/>
          </w:rPr>
          <w:t xml:space="preserve">Spot Treatment</w:t>
        </w:r>
      </w:hyperlink>
      <w:r>
        <w:t xml:space="preserve"> — where salicylic acid crosses fully into drug territory.</w:t>
      </w:r>
    </w:p>
    <w:p>
      <w:pPr>
        <w:pStyle w:val="ListParagraph"/>
        <w:numPr>
          <w:ilvl w:val="0"/>
          <w:numId w:val="1"/>
        </w:numPr>
      </w:pPr>
      <w:r>
        <w:t xml:space="preserve">Regulatory statements here follow the FDA and EU sources listed on </w:t>
      </w:r>
      <w:hyperlink r:id="rId125">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skincare/chemical-exfoliant" TargetMode="External"/><Relationship Id="rId101" Type="http://schemas.openxmlformats.org/officeDocument/2006/relationships/hyperlink" Target="https://www.agoramores.com/tags/skincare" TargetMode="External"/><Relationship Id="rId102" Type="http://schemas.openxmlformats.org/officeDocument/2006/relationships/hyperlink" Target="https://www.agoramores.com/cosmetics/skincare/facial-oil" TargetMode="External"/><Relationship Id="rId103" Type="http://schemas.openxmlformats.org/officeDocument/2006/relationships/hyperlink" Target="https://www.agoramores.com/cosmetics/skincare" TargetMode="External"/><Relationship Id="rId104" Type="http://schemas.openxmlformats.org/officeDocument/2006/relationships/hyperlink" Target="https://www.agoramores.com/cosmetics/skincare/body-lotion" TargetMode="External"/><Relationship Id="rId105" Type="http://schemas.openxmlformats.org/officeDocument/2006/relationships/hyperlink" Target="https://www.agoramores.com/cosmetics/skincare/body-oil" TargetMode="External"/><Relationship Id="rId106" Type="http://schemas.openxmlformats.org/officeDocument/2006/relationships/hyperlink" Target="https://www.agoramores.com/cosmetics/skincare/brightening-treatment" TargetMode="External"/><Relationship Id="rId107" Type="http://schemas.openxmlformats.org/officeDocument/2006/relationships/hyperlink" Target="https://www.agoramores.com/cosmetics/skincare/occlusive-balm"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makeup/lash-primer" TargetMode="External"/><Relationship Id="rId110" Type="http://schemas.openxmlformats.org/officeDocument/2006/relationships/hyperlink" Target="https://www.agoramores.com/cosmetics/makeup/face-powder" TargetMode="External"/><Relationship Id="rId111" Type="http://schemas.openxmlformats.org/officeDocument/2006/relationships/hyperlink" Target="https://www.agoramores.com/cosmetics/makeup/body-paint" TargetMode="External"/><Relationship Id="rId112" Type="http://schemas.openxmlformats.org/officeDocument/2006/relationships/hyperlink" Target="https://www.agoramores.com/cosmetics/bath-and-body/bubble-bath" TargetMode="External"/><Relationship Id="rId113" Type="http://schemas.openxmlformats.org/officeDocument/2006/relationships/hyperlink" Target="https://www.agoramores.com/cosmetics/makeup/lip-gloss" TargetMode="External"/><Relationship Id="rId114" Type="http://schemas.openxmlformats.org/officeDocument/2006/relationships/hyperlink" Target="https://www.agoramores.com/cosmetics/sun-and-tanning/mineral-sunscreen" TargetMode="External"/><Relationship Id="rId115" Type="http://schemas.openxmlformats.org/officeDocument/2006/relationships/hyperlink" Target="https://www.agoramores.com/cosmetics/sun-and-tanning/facial-sunscreen" TargetMode="External"/><Relationship Id="rId116" Type="http://schemas.openxmlformats.org/officeDocument/2006/relationships/hyperlink" Target="https://www.agoramores.com/cosmetics/skincare/retinoid-treatment" TargetMode="External"/><Relationship Id="rId117" Type="http://schemas.openxmlformats.org/officeDocument/2006/relationships/hyperlink" Target="https://www.agoramores.com/cosmetics/skincare/facial-scrub" TargetMode="External"/><Relationship Id="rId118" Type="http://schemas.openxmlformats.org/officeDocument/2006/relationships/hyperlink" Target="https://www.agoramores.com/cosmetics/skincare/portal" TargetMode="External"/><Relationship Id="rId119" Type="http://schemas.openxmlformats.org/officeDocument/2006/relationships/hyperlink" Target="https://www.agoramores.com/cosmetics/portal" TargetMode="External"/><Relationship Id="rId120" Type="http://schemas.openxmlformats.org/officeDocument/2006/relationships/hyperlink" Target="https://www.agoramores.com/cosmetics/skincare/facial-scrub" TargetMode="External"/><Relationship Id="rId121" Type="http://schemas.openxmlformats.org/officeDocument/2006/relationships/hyperlink" Target="https://www.agoramores.com/cosmetics/skincare/enzyme-peel" TargetMode="External"/><Relationship Id="rId122" Type="http://schemas.openxmlformats.org/officeDocument/2006/relationships/hyperlink" Target="https://www.agoramores.com/cosmetics/skincare/toner" TargetMode="External"/><Relationship Id="rId123" Type="http://schemas.openxmlformats.org/officeDocument/2006/relationships/hyperlink" Target="https://www.agoramores.com/cosmetics/skincare/facial-serum" TargetMode="External"/><Relationship Id="rId124" Type="http://schemas.openxmlformats.org/officeDocument/2006/relationships/hyperlink" Target="https://www.agoramores.com/cosmetics/skincare/spot-treatment" TargetMode="External"/><Relationship Id="rId125"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chemical exfoliant</dc:title>
  <dc:creator>Agoramores</dc:creator>
  <cp:keywords>cosmetics, skincare</cp:keywords>
  <dcterms:created xsi:type="dcterms:W3CDTF">2026-08-22T03:42:51Z</dcterms:created>
</cp:coreProperties>
</file>