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body lotion</w:t>
      </w:r>
    </w:p>
    <w:p>
      <w:pPr>
        <w:pStyle w:val="Subtitle"/>
      </w:pPr>
      <w:hyperlink r:id="rId100">
        <w:r>
          <w:rPr>
            <w:color w:val="1F4E79"/>
            <w:u w:val="single"/>
          </w:rPr>
          <w:t xml:space="preserve">https://www.agoramores.com/cosmetics/skincare/body-lotion</w:t>
        </w:r>
      </w:hyperlink>
    </w:p>
    <w:p>
      <w:pPr>
        <w:pStyle w:val="Subtitle"/>
      </w:pPr>
      <w:r>
        <w:t xml:space="preserve">Tags: cosmetics · skincare</w:t>
      </w:r>
    </w:p>
    <w:p>
      <w:pPr>
        <w:pBdr>
          <w:bottom w:val="single" w:sz="6" w:space="1" w:color="808080"/>
        </w:pBdr>
      </w:pPr>
    </w:p>
    <w:p>
      <w:pPr>
        <w:pStyle w:val="Heading1"/>
      </w:pPr>
      <w:r>
        <w:t xml:space="preserve">Related</w:t>
      </w:r>
    </w:p>
    <w:p>
      <w:pPr>
        <w:pStyle w:val="Heading2"/>
      </w:pPr>
      <w:hyperlink r:id="rId101">
        <w:r>
          <w:rPr>
            <w:color w:val="1F4E79"/>
            <w:u w:val="single"/>
          </w:rPr>
          <w:t xml:space="preserve">skincare</w:t>
        </w:r>
      </w:hyperlink>
    </w:p>
    <w:p>
      <w:pPr>
        <w:pStyle w:val="ListParagraph"/>
        <w:numPr>
          <w:ilvl w:val="0"/>
          <w:numId w:val="1"/>
        </w:numPr>
      </w:pPr>
      <w:hyperlink r:id="rId102">
        <w:r>
          <w:rPr>
            <w:color w:val="1F4E79"/>
            <w:u w:val="single"/>
          </w:rPr>
          <w:t xml:space="preserve">facial oil</w:t>
        </w:r>
      </w:hyperlink>
    </w:p>
    <w:p>
      <w:pPr>
        <w:pStyle w:val="ListParagraph"/>
        <w:numPr>
          <w:ilvl w:val="0"/>
          <w:numId w:val="1"/>
        </w:numPr>
      </w:pPr>
      <w:hyperlink r:id="rId103">
        <w:r>
          <w:rPr>
            <w:color w:val="1F4E79"/>
            <w:u w:val="single"/>
          </w:rPr>
          <w:t xml:space="preserve">skincare</w:t>
        </w:r>
      </w:hyperlink>
    </w:p>
    <w:p>
      <w:pPr>
        <w:pStyle w:val="ListParagraph"/>
        <w:numPr>
          <w:ilvl w:val="0"/>
          <w:numId w:val="1"/>
        </w:numPr>
      </w:pPr>
      <w:hyperlink r:id="rId104">
        <w:r>
          <w:rPr>
            <w:color w:val="1F4E79"/>
            <w:u w:val="single"/>
          </w:rPr>
          <w:t xml:space="preserve">body oil</w:t>
        </w:r>
      </w:hyperlink>
    </w:p>
    <w:p>
      <w:pPr>
        <w:pStyle w:val="ListParagraph"/>
        <w:numPr>
          <w:ilvl w:val="0"/>
          <w:numId w:val="1"/>
        </w:numPr>
      </w:pPr>
      <w:hyperlink r:id="rId105">
        <w:r>
          <w:rPr>
            <w:color w:val="1F4E79"/>
            <w:u w:val="single"/>
          </w:rPr>
          <w:t xml:space="preserve">brightening treatment</w:t>
        </w:r>
      </w:hyperlink>
    </w:p>
    <w:p>
      <w:pPr>
        <w:pStyle w:val="ListParagraph"/>
        <w:numPr>
          <w:ilvl w:val="0"/>
          <w:numId w:val="1"/>
        </w:numPr>
      </w:pPr>
      <w:hyperlink r:id="rId106">
        <w:r>
          <w:rPr>
            <w:color w:val="1F4E79"/>
            <w:u w:val="single"/>
          </w:rPr>
          <w:t xml:space="preserve">occlusive balm</w:t>
        </w:r>
      </w:hyperlink>
    </w:p>
    <w:p>
      <w:pPr>
        <w:pStyle w:val="ListParagraph"/>
        <w:numPr>
          <w:ilvl w:val="0"/>
          <w:numId w:val="1"/>
        </w:numPr>
      </w:pPr>
      <w:hyperlink r:id="rId107">
        <w:r>
          <w:rPr>
            <w:color w:val="1F4E79"/>
            <w:u w:val="single"/>
          </w:rPr>
          <w:t xml:space="preserve">cleansing oil</w:t>
        </w:r>
      </w:hyperlink>
    </w:p>
    <w:p>
      <w:pPr>
        <w:pStyle w:val="Heading2"/>
      </w:pPr>
      <w:hyperlink r:id="rId108">
        <w:r>
          <w:rPr>
            <w:color w:val="1F4E79"/>
            <w:u w:val="single"/>
          </w:rPr>
          <w:t xml:space="preserve">cosmetics</w:t>
        </w:r>
      </w:hyperlink>
    </w:p>
    <w:p>
      <w:pPr>
        <w:pStyle w:val="ListParagraph"/>
        <w:numPr>
          <w:ilvl w:val="0"/>
          <w:numId w:val="1"/>
        </w:numPr>
      </w:pPr>
      <w:hyperlink r:id="rId109">
        <w:r>
          <w:rPr>
            <w:color w:val="1F4E79"/>
            <w:u w:val="single"/>
          </w:rPr>
          <w:t xml:space="preserve">lash primer</w:t>
        </w:r>
      </w:hyperlink>
    </w:p>
    <w:p>
      <w:pPr>
        <w:pStyle w:val="ListParagraph"/>
        <w:numPr>
          <w:ilvl w:val="0"/>
          <w:numId w:val="1"/>
        </w:numPr>
      </w:pPr>
      <w:hyperlink r:id="rId110">
        <w:r>
          <w:rPr>
            <w:color w:val="1F4E79"/>
            <w:u w:val="single"/>
          </w:rPr>
          <w:t xml:space="preserve">face powder</w:t>
        </w:r>
      </w:hyperlink>
    </w:p>
    <w:p>
      <w:pPr>
        <w:pStyle w:val="ListParagraph"/>
        <w:numPr>
          <w:ilvl w:val="0"/>
          <w:numId w:val="1"/>
        </w:numPr>
      </w:pPr>
      <w:hyperlink r:id="rId111">
        <w:r>
          <w:rPr>
            <w:color w:val="1F4E79"/>
            <w:u w:val="single"/>
          </w:rPr>
          <w:t xml:space="preserve">body paint</w:t>
        </w:r>
      </w:hyperlink>
    </w:p>
    <w:p>
      <w:pPr>
        <w:pStyle w:val="ListParagraph"/>
        <w:numPr>
          <w:ilvl w:val="0"/>
          <w:numId w:val="1"/>
        </w:numPr>
      </w:pPr>
      <w:hyperlink r:id="rId112">
        <w:r>
          <w:rPr>
            <w:color w:val="1F4E79"/>
            <w:u w:val="single"/>
          </w:rPr>
          <w:t xml:space="preserve">bubble bath</w:t>
        </w:r>
      </w:hyperlink>
    </w:p>
    <w:p>
      <w:pPr>
        <w:pStyle w:val="ListParagraph"/>
        <w:numPr>
          <w:ilvl w:val="0"/>
          <w:numId w:val="1"/>
        </w:numPr>
      </w:pPr>
      <w:hyperlink r:id="rId113">
        <w:r>
          <w:rPr>
            <w:color w:val="1F4E79"/>
            <w:u w:val="single"/>
          </w:rPr>
          <w:t xml:space="preserve">lip gloss</w:t>
        </w:r>
      </w:hyperlink>
    </w:p>
    <w:p>
      <w:pPr>
        <w:pStyle w:val="ListParagraph"/>
        <w:numPr>
          <w:ilvl w:val="0"/>
          <w:numId w:val="1"/>
        </w:numPr>
      </w:pPr>
      <w:hyperlink r:id="rId114">
        <w:r>
          <w:rPr>
            <w:color w:val="1F4E79"/>
            <w:u w:val="single"/>
          </w:rPr>
          <w:t xml:space="preserve">mineral sunscreen</w:t>
        </w:r>
      </w:hyperlink>
    </w:p>
    <w:p>
      <w:pPr>
        <w:pStyle w:val="Heading1"/>
      </w:pPr>
      <w:r>
        <w:t xml:space="preserve">Body Lotion</w:t>
      </w:r>
    </w:p>
    <w:p>
      <w:r>
        <w:t xml:space="preserve">A light oil-in-water emulsion for skin below the neck. Body lotion is the highest
volume product in this catalogue by weight sold, the cheapest per gram, and the one
where the difference between an expensive and an inexpensive product is smallest.</w:t>
      </w:r>
    </w:p>
    <w:p>
      <w:pPr>
        <w:pStyle w:val="Heading2"/>
      </w:pPr>
      <w:r>
        <w:t xml:space="preserve">Lotion, cream, butter, ointment</w:t>
      </w:r>
    </w:p>
    <w:p>
      <w:r>
        <w:t xml:space="preserve">The distinction is water content, and it maps directly onto how dry the skin is.</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Format</w:t>
            </w:r>
          </w:p>
        </w:tc>
        <w:tc>
          <w:tcPr>
            <w:tcW w:w="2400" w:type="dxa"/>
          </w:tcPr>
          <w:p>
            <w:pPr>
              <w:pStyle w:val="TableText"/>
            </w:pPr>
            <w:r>
              <w:rPr>
                <w:b/>
              </w:rPr>
              <w:t xml:space="preserve">Water</w:t>
            </w:r>
          </w:p>
        </w:tc>
        <w:tc>
          <w:tcPr>
            <w:tcW w:w="2400" w:type="dxa"/>
          </w:tcPr>
          <w:p>
            <w:pPr>
              <w:pStyle w:val="TableText"/>
            </w:pPr>
            <w:r>
              <w:rPr>
                <w:b/>
              </w:rPr>
              <w:t xml:space="preserve">Feel</w:t>
            </w:r>
          </w:p>
        </w:tc>
        <w:tc>
          <w:tcPr>
            <w:tcW w:w="2400" w:type="dxa"/>
          </w:tcPr>
          <w:p>
            <w:pPr>
              <w:pStyle w:val="TableText"/>
            </w:pPr>
            <w:r>
              <w:rPr>
                <w:b/>
              </w:rPr>
              <w:t xml:space="preserve">Right for</w:t>
            </w:r>
          </w:p>
        </w:tc>
      </w:tr>
      <w:tr>
        <w:tc>
          <w:tcPr>
            <w:tcW w:w="2400" w:type="dxa"/>
          </w:tcPr>
          <w:p>
            <w:pPr>
              <w:pStyle w:val="TableText"/>
            </w:pPr>
            <w:r>
              <w:rPr>
                <w:b/>
              </w:rPr>
              <w:t xml:space="preserve">Lotion</w:t>
            </w:r>
          </w:p>
        </w:tc>
        <w:tc>
          <w:tcPr>
            <w:tcW w:w="2400" w:type="dxa"/>
          </w:tcPr>
          <w:p>
            <w:pPr>
              <w:pStyle w:val="TableText"/>
            </w:pPr>
            <w:r>
              <w:t xml:space="preserve">High (70–85%)</w:t>
            </w:r>
          </w:p>
        </w:tc>
        <w:tc>
          <w:tcPr>
            <w:tcW w:w="2400" w:type="dxa"/>
          </w:tcPr>
          <w:p>
            <w:pPr>
              <w:pStyle w:val="TableText"/>
            </w:pPr>
            <w:r>
              <w:t xml:space="preserve">Light, pumps, sinks fast</w:t>
            </w:r>
          </w:p>
        </w:tc>
        <w:tc>
          <w:tcPr>
            <w:tcW w:w="2400" w:type="dxa"/>
          </w:tcPr>
          <w:p>
            <w:pPr>
              <w:pStyle w:val="TableText"/>
            </w:pPr>
            <w:r>
              <w:t xml:space="preserve">Normal to mildly dry skin; large areas; summer</w:t>
            </w:r>
          </w:p>
        </w:tc>
      </w:tr>
      <w:tr>
        <w:tc>
          <w:tcPr>
            <w:tcW w:w="2400" w:type="dxa"/>
          </w:tcPr>
          <w:p>
            <w:pPr>
              <w:pStyle w:val="TableText"/>
            </w:pPr>
            <w:r>
              <w:rPr>
                <w:b/>
              </w:rPr>
              <w:t xml:space="preserve">Cream</w:t>
            </w:r>
          </w:p>
        </w:tc>
        <w:tc>
          <w:tcPr>
            <w:tcW w:w="2400" w:type="dxa"/>
          </w:tcPr>
          <w:p>
            <w:pPr>
              <w:pStyle w:val="TableText"/>
            </w:pPr>
            <w:r>
              <w:t xml:space="preserve">Moderate</w:t>
            </w:r>
          </w:p>
        </w:tc>
        <w:tc>
          <w:tcPr>
            <w:tcW w:w="2400" w:type="dxa"/>
          </w:tcPr>
          <w:p>
            <w:pPr>
              <w:pStyle w:val="TableText"/>
            </w:pPr>
            <w:r>
              <w:t xml:space="preserve">Thicker, scoops or squeezes</w:t>
            </w:r>
          </w:p>
        </w:tc>
        <w:tc>
          <w:tcPr>
            <w:tcW w:w="2400" w:type="dxa"/>
          </w:tcPr>
          <w:p>
            <w:pPr>
              <w:pStyle w:val="TableText"/>
            </w:pPr>
            <w:r>
              <w:t xml:space="preserve">Dry skin; winter</w:t>
            </w:r>
          </w:p>
        </w:tc>
      </w:tr>
      <w:tr>
        <w:tc>
          <w:tcPr>
            <w:tcW w:w="2400" w:type="dxa"/>
          </w:tcPr>
          <w:p>
            <w:pPr>
              <w:pStyle w:val="TableText"/>
            </w:pPr>
            <w:r>
              <w:rPr>
                <w:b/>
              </w:rPr>
              <w:t xml:space="preserve">Butter</w:t>
            </w:r>
          </w:p>
        </w:tc>
        <w:tc>
          <w:tcPr>
            <w:tcW w:w="2400" w:type="dxa"/>
          </w:tcPr>
          <w:p>
            <w:pPr>
              <w:pStyle w:val="TableText"/>
            </w:pPr>
            <w:r>
              <w:t xml:space="preserve">Low</w:t>
            </w:r>
          </w:p>
        </w:tc>
        <w:tc>
          <w:tcPr>
            <w:tcW w:w="2400" w:type="dxa"/>
          </w:tcPr>
          <w:p>
            <w:pPr>
              <w:pStyle w:val="TableText"/>
            </w:pPr>
            <w:r>
              <w:t xml:space="preserve">Rich, solid at room temperature</w:t>
            </w:r>
          </w:p>
        </w:tc>
        <w:tc>
          <w:tcPr>
            <w:tcW w:w="2400" w:type="dxa"/>
          </w:tcPr>
          <w:p>
            <w:pPr>
              <w:pStyle w:val="TableText"/>
            </w:pPr>
            <w:r>
              <w:t xml:space="preserve">Very dry skin, elbows, heels — see </w:t>
            </w:r>
            <w:hyperlink r:id="rId115">
              <w:r>
                <w:rPr>
                  <w:color w:val="1F4E79"/>
                  <w:u w:val="single"/>
                </w:rPr>
                <w:t xml:space="preserve">Body Butter</w:t>
              </w:r>
            </w:hyperlink>
          </w:p>
        </w:tc>
      </w:tr>
      <w:tr>
        <w:tc>
          <w:tcPr>
            <w:tcW w:w="2400" w:type="dxa"/>
          </w:tcPr>
          <w:p>
            <w:pPr>
              <w:pStyle w:val="TableText"/>
            </w:pPr>
            <w:r>
              <w:rPr>
                <w:b/>
              </w:rPr>
              <w:t xml:space="preserve">Ointment</w:t>
            </w:r>
          </w:p>
        </w:tc>
        <w:tc>
          <w:tcPr>
            <w:tcW w:w="2400" w:type="dxa"/>
          </w:tcPr>
          <w:p>
            <w:pPr>
              <w:pStyle w:val="TableText"/>
            </w:pPr>
            <w:r>
              <w:t xml:space="preserve">None</w:t>
            </w:r>
          </w:p>
        </w:tc>
        <w:tc>
          <w:tcPr>
            <w:tcW w:w="2400" w:type="dxa"/>
          </w:tcPr>
          <w:p>
            <w:pPr>
              <w:pStyle w:val="TableText"/>
            </w:pPr>
            <w:r>
              <w:t xml:space="preserve">Greasy, occlusive</w:t>
            </w:r>
          </w:p>
        </w:tc>
        <w:tc>
          <w:tcPr>
            <w:tcW w:w="2400" w:type="dxa"/>
          </w:tcPr>
          <w:p>
            <w:pPr>
              <w:pStyle w:val="TableText"/>
            </w:pPr>
            <w:r>
              <w:t xml:space="preserve">Eczema, cracked skin, medical use</w:t>
            </w:r>
          </w:p>
        </w:tc>
      </w:tr>
    </w:tbl>
    <w:p/>
    <w:p>
      <w:r>
        <w:t xml:space="preserve">More water is not less effective — it is a different job. A lotion spreads over a
whole body in the time a butter covers one leg, and </w:t>
      </w:r>
      <w:r>
        <w:rPr>
          <w:b/>
        </w:rPr>
        <w:t xml:space="preserve">the moisturiser people actually
use daily beats the one they own</w:t>
      </w:r>
      <w:r>
        <w:t xml:space="preserve">.</w:t>
      </w:r>
    </w:p>
    <w:p>
      <w:pPr>
        <w:pStyle w:val="Heading2"/>
      </w:pPr>
      <w:r>
        <w:t xml:space="preserve">What is in it</w:t>
      </w:r>
    </w:p>
    <w:tbl>
      <w:tblPr>
        <w:tblStyle w:val="TableGrid"/>
        <w:tblW w:w="0" w:type="auto"/>
      </w:tblPr>
      <w:tblGrid>
        <w:gridCol w:w="2400"/>
        <w:gridCol w:w="2400"/>
        <w:gridCol w:w="2400"/>
      </w:tblGrid>
      <w:tr>
        <w:trPr>
          <w:tblHeader/>
        </w:trPr>
        <w:tc>
          <w:tcPr>
            <w:tcW w:w="2400" w:type="dxa"/>
          </w:tcPr>
          <w:p>
            <w:pPr>
              <w:pStyle w:val="TableText"/>
            </w:pPr>
            <w:r>
              <w:rPr>
                <w:b/>
              </w:rPr>
              <w:t xml:space="preserve">Class</w:t>
            </w:r>
          </w:p>
        </w:tc>
        <w:tc>
          <w:tcPr>
            <w:tcW w:w="2400" w:type="dxa"/>
          </w:tcPr>
          <w:p>
            <w:pPr>
              <w:pStyle w:val="TableText"/>
            </w:pPr>
            <w:r>
              <w:rPr>
                <w:b/>
              </w:rPr>
              <w:t xml:space="preserve">Doing what</w:t>
            </w:r>
          </w:p>
        </w:tc>
        <w:tc>
          <w:tcPr>
            <w:tcW w:w="2400" w:type="dxa"/>
          </w:tcPr>
          <w:p>
            <w:pPr>
              <w:pStyle w:val="TableText"/>
            </w:pPr>
            <w:r>
              <w:rPr>
                <w:b/>
              </w:rPr>
              <w:t xml:space="preserve">Names</w:t>
            </w:r>
          </w:p>
        </w:tc>
      </w:tr>
      <w:tr>
        <w:tc>
          <w:tcPr>
            <w:tcW w:w="2400" w:type="dxa"/>
          </w:tcPr>
          <w:p>
            <w:pPr>
              <w:pStyle w:val="TableText"/>
            </w:pPr>
            <w:r>
              <w:t xml:space="preserve">Water</w:t>
            </w:r>
          </w:p>
        </w:tc>
        <w:tc>
          <w:tcPr>
            <w:tcW w:w="2400" w:type="dxa"/>
          </w:tcPr>
          <w:p>
            <w:pPr>
              <w:pStyle w:val="TableText"/>
            </w:pPr>
            <w:r>
              <w:t xml:space="preserve">Bulk</w:t>
            </w:r>
          </w:p>
        </w:tc>
        <w:tc>
          <w:tcPr>
            <w:tcW w:w="2400" w:type="dxa"/>
          </w:tcPr>
          <w:p>
            <w:pPr>
              <w:pStyle w:val="TableText"/>
            </w:pPr>
            <w:r>
              <w:t xml:space="preserve">Aqua</w:t>
            </w:r>
          </w:p>
        </w:tc>
      </w:tr>
      <w:tr>
        <w:tc>
          <w:tcPr>
            <w:tcW w:w="2400" w:type="dxa"/>
          </w:tcPr>
          <w:p>
            <w:pPr>
              <w:pStyle w:val="TableText"/>
            </w:pPr>
            <w:r>
              <w:t xml:space="preserve">Humectant</w:t>
            </w:r>
          </w:p>
        </w:tc>
        <w:tc>
          <w:tcPr>
            <w:tcW w:w="2400" w:type="dxa"/>
          </w:tcPr>
          <w:p>
            <w:pPr>
              <w:pStyle w:val="TableText"/>
            </w:pPr>
            <w:r>
              <w:t xml:space="preserve">Binds water at the surface</w:t>
            </w:r>
          </w:p>
        </w:tc>
        <w:tc>
          <w:tcPr>
            <w:tcW w:w="2400" w:type="dxa"/>
          </w:tcPr>
          <w:p>
            <w:pPr>
              <w:pStyle w:val="TableText"/>
            </w:pPr>
            <w:r>
              <w:t xml:space="preserve">Glycerin, urea, propylene glycol, sodium PCA</w:t>
            </w:r>
          </w:p>
        </w:tc>
      </w:tr>
      <w:tr>
        <w:tc>
          <w:tcPr>
            <w:tcW w:w="2400" w:type="dxa"/>
          </w:tcPr>
          <w:p>
            <w:pPr>
              <w:pStyle w:val="TableText"/>
            </w:pPr>
            <w:r>
              <w:t xml:space="preserve">Emollient</w:t>
            </w:r>
          </w:p>
        </w:tc>
        <w:tc>
          <w:tcPr>
            <w:tcW w:w="2400" w:type="dxa"/>
          </w:tcPr>
          <w:p>
            <w:pPr>
              <w:pStyle w:val="TableText"/>
            </w:pPr>
            <w:r>
              <w:t xml:space="preserve">Smooths, softens</w:t>
            </w:r>
          </w:p>
        </w:tc>
        <w:tc>
          <w:tcPr>
            <w:tcW w:w="2400" w:type="dxa"/>
          </w:tcPr>
          <w:p>
            <w:pPr>
              <w:pStyle w:val="TableText"/>
            </w:pPr>
            <w:r>
              <w:t xml:space="preserve">Caprylic/capric triglyceride, shea butter, plant oils, isopropyl myristate</w:t>
            </w:r>
          </w:p>
        </w:tc>
      </w:tr>
      <w:tr>
        <w:tc>
          <w:tcPr>
            <w:tcW w:w="2400" w:type="dxa"/>
          </w:tcPr>
          <w:p>
            <w:pPr>
              <w:pStyle w:val="TableText"/>
            </w:pPr>
            <w:r>
              <w:t xml:space="preserve">Occlusive</w:t>
            </w:r>
          </w:p>
        </w:tc>
        <w:tc>
          <w:tcPr>
            <w:tcW w:w="2400" w:type="dxa"/>
          </w:tcPr>
          <w:p>
            <w:pPr>
              <w:pStyle w:val="TableText"/>
            </w:pPr>
            <w:r>
              <w:t xml:space="preserve">Slows evaporation</w:t>
            </w:r>
          </w:p>
        </w:tc>
        <w:tc>
          <w:tcPr>
            <w:tcW w:w="2400" w:type="dxa"/>
          </w:tcPr>
          <w:p>
            <w:pPr>
              <w:pStyle w:val="TableText"/>
            </w:pPr>
            <w:r>
              <w:t xml:space="preserve">Dimethicone, mineral oil, petrolatum</w:t>
            </w:r>
          </w:p>
        </w:tc>
      </w:tr>
      <w:tr>
        <w:tc>
          <w:tcPr>
            <w:tcW w:w="2400" w:type="dxa"/>
          </w:tcPr>
          <w:p>
            <w:pPr>
              <w:pStyle w:val="TableText"/>
            </w:pPr>
            <w:r>
              <w:t xml:space="preserve">Emulsifier</w:t>
            </w:r>
          </w:p>
        </w:tc>
        <w:tc>
          <w:tcPr>
            <w:tcW w:w="2400" w:type="dxa"/>
          </w:tcPr>
          <w:p>
            <w:pPr>
              <w:pStyle w:val="TableText"/>
            </w:pPr>
            <w:r>
              <w:t xml:space="preserve">Holds it together</w:t>
            </w:r>
          </w:p>
        </w:tc>
        <w:tc>
          <w:tcPr>
            <w:tcW w:w="2400" w:type="dxa"/>
          </w:tcPr>
          <w:p>
            <w:pPr>
              <w:pStyle w:val="TableText"/>
            </w:pPr>
            <w:r>
              <w:t xml:space="preserve">Glyceryl stearate + PEG-100 stearate, cetearyl alcohol</w:t>
            </w:r>
          </w:p>
        </w:tc>
      </w:tr>
      <w:tr>
        <w:tc>
          <w:tcPr>
            <w:tcW w:w="2400" w:type="dxa"/>
          </w:tcPr>
          <w:p>
            <w:pPr>
              <w:pStyle w:val="TableText"/>
            </w:pPr>
            <w:r>
              <w:t xml:space="preserve">Preservative</w:t>
            </w:r>
          </w:p>
        </w:tc>
        <w:tc>
          <w:tcPr>
            <w:tcW w:w="2400" w:type="dxa"/>
          </w:tcPr>
          <w:p>
            <w:pPr>
              <w:pStyle w:val="TableText"/>
            </w:pPr>
            <w:r>
              <w:t xml:space="preserve">Essential</w:t>
            </w:r>
          </w:p>
        </w:tc>
        <w:tc>
          <w:tcPr>
            <w:tcW w:w="2400" w:type="dxa"/>
          </w:tcPr>
          <w:p>
            <w:pPr>
              <w:pStyle w:val="TableText"/>
            </w:pPr>
            <w:r>
              <w:t xml:space="preserve">Phenoxyethanol, benzyl alcohol, sodium benzoate</w:t>
            </w:r>
          </w:p>
        </w:tc>
      </w:tr>
      <w:tr>
        <w:tc>
          <w:tcPr>
            <w:tcW w:w="2400" w:type="dxa"/>
          </w:tcPr>
          <w:p>
            <w:pPr>
              <w:pStyle w:val="TableText"/>
            </w:pPr>
            <w:r>
              <w:t xml:space="preserve">Fragrance</w:t>
            </w:r>
          </w:p>
        </w:tc>
        <w:tc>
          <w:tcPr>
            <w:tcW w:w="2400" w:type="dxa"/>
          </w:tcPr>
          <w:p>
            <w:pPr>
              <w:pStyle w:val="TableText"/>
            </w:pPr>
            <w:r>
              <w:t xml:space="preserve">The main reason people choose one</w:t>
            </w:r>
          </w:p>
        </w:tc>
        <w:tc>
          <w:tcPr>
            <w:tcW w:w="2400" w:type="dxa"/>
          </w:tcPr>
          <w:p>
            <w:pPr>
              <w:pStyle w:val="TableText"/>
            </w:pPr>
            <w:r>
              <w:t xml:space="preserve">Parfum</w:t>
            </w:r>
          </w:p>
        </w:tc>
      </w:tr>
    </w:tbl>
    <w:p/>
    <w:p>
      <w:r>
        <w:rPr>
          <w:b/>
        </w:rPr>
        <w:t xml:space="preserve">Urea deserves a separate note.</w:t>
      </w:r>
      <w:r>
        <w:t xml:space="preserve"> At 5–10% it is a humectant; at 10% and above it is
also keratolytic, softening thickened skin. It is the most useful single ingredient for
rough heels, keratosis pilaris, and the shins of anyone over sixty, and it is
underrepresented on the mainstream shelf outside pharmacy brands.</w:t>
      </w:r>
    </w:p>
    <w:p>
      <w:pPr>
        <w:pStyle w:val="Heading2"/>
      </w:pPr>
      <w:r>
        <w:t xml:space="preserve">When to apply it</w:t>
      </w:r>
    </w:p>
    <w:p>
      <w:r>
        <w:rPr>
          <w:b/>
        </w:rPr>
        <w:t xml:space="preserve">Within three minutes of getting out of the bath or shower</w:t>
      </w:r>
      <w:r>
        <w:t xml:space="preserve">, on skin patted rather
than rubbed dry. Damp skin has surface water for the humectants to bind and for the
occlusives to seal in, and the difference is measurable rather than folkloric.</w:t>
      </w:r>
    </w:p>
    <w:p>
      <w:pPr>
        <w:pStyle w:val="Heading2"/>
      </w:pPr>
      <w:r>
        <w:t xml:space="preserve">Fragrance, plainly</w:t>
      </w:r>
    </w:p>
    <w:p>
      <w:r>
        <w:t xml:space="preserve">Fragrance is the most common cause of contact dermatitis in this category and body
lotion is applied to a very large surface area, daily, often on skin freshly stripped
by hot water and surfactant. Anyone with itching that has no obvious cause should try a
genuinely fragrance-free lotion for a month before anything else. Note that
</w:t>
      </w:r>
      <w:r>
        <w:rPr>
          <w:b/>
        </w:rPr>
        <w:t xml:space="preserve">"unscented" is not "fragrance free"</w:t>
      </w:r>
      <w:r>
        <w:t xml:space="preserve"> — unscented products may contain masking
fragrance.</w:t>
      </w:r>
    </w:p>
    <w:p>
      <w:pPr>
        <w:pStyle w:val="Heading2"/>
      </w:pPr>
      <w:r>
        <w:t xml:space="preserve">Where it sits in the rules</w:t>
      </w:r>
    </w:p>
    <w:p>
      <w:r>
        <w:rPr>
          <w:b/>
        </w:rPr>
        <w:t xml:space="preserve">Cosmetic</w:t>
      </w:r>
      <w:r>
        <w:t xml:space="preserve"> in the US — FDA primary category (14). Three routes to also being a drug:
an </w:t>
      </w:r>
      <w:r>
        <w:rPr>
          <w:b/>
        </w:rPr>
        <w:t xml:space="preserve">SPF</w:t>
      </w:r>
      <w:r>
        <w:t xml:space="preserve"> number, a </w:t>
      </w:r>
      <w:r>
        <w:rPr>
          <w:b/>
        </w:rPr>
        <w:t xml:space="preserve">skin protectant</w:t>
      </w:r>
      <w:r>
        <w:t xml:space="preserve"> claim with a monograph active, or an eczema
or psoriasis claim. Note also that the </w:t>
      </w:r>
      <w:r>
        <w:rPr>
          <w:b/>
        </w:rPr>
        <w:t xml:space="preserve">EU retinol restriction</w:t>
      </w:r>
      <w:r>
        <w:t xml:space="preserve"> of Regulation (EU)
2024/996 sets a much lower limit for body lotion — </w:t>
      </w:r>
      <w:r>
        <w:rPr>
          <w:b/>
        </w:rPr>
        <w:t xml:space="preserve">0.05%</w:t>
      </w:r>
      <w:r>
        <w:t xml:space="preserve"> — than for face products,
precisely because the applied surface area is so much larger.</w:t>
      </w:r>
    </w:p>
    <w:p>
      <w:r>
        <w:t xml:space="preserve">Body lotion is also the format where "</w:t>
      </w:r>
      <w:r>
        <w:rPr>
          <w:b/>
        </w:rPr>
        <w:t xml:space="preserve">and other ingredients</w:t>
      </w:r>
      <w:r>
        <w:t xml:space="preserve">" occasionally appears
at the end of a US ingredient list: that is the FDA-accepted trade-secret exemption
under 21 CFR 701.3, and it is legal.</w:t>
      </w:r>
    </w:p>
    <w:p>
      <w:pPr>
        <w:pStyle w:val="Heading2"/>
      </w:pPr>
      <w:r>
        <w:t xml:space="preserve">Shelf life</w:t>
      </w:r>
    </w:p>
    <w:p>
      <w:r>
        <w:t xml:space="preserve">Twelve months after opening for a pump bottle; less for a tub. Separation, a sour or
solvent-like odour, or a colour change means the emulsion or the preservative has
failed. Bottles kept in a bathroom and topped up with water — a surprisingly common
habit as they run low — are contaminated from that moment.</w:t>
      </w:r>
    </w:p>
    <w:p>
      <w:pPr>
        <w:pStyle w:val="Heading2"/>
      </w:pPr>
      <w:r>
        <w:t xml:space="preserve">Related</w:t>
      </w:r>
    </w:p>
    <w:p>
      <w:pPr>
        <w:pStyle w:val="ListParagraph"/>
        <w:numPr>
          <w:ilvl w:val="0"/>
          <w:numId w:val="1"/>
        </w:numPr>
      </w:pPr>
      <w:hyperlink r:id="rId116">
        <w:r>
          <w:rPr>
            <w:color w:val="1F4E79"/>
            <w:u w:val="single"/>
          </w:rPr>
          <w:t xml:space="preserve">Skincare</w:t>
        </w:r>
      </w:hyperlink>
      <w:r>
        <w:t xml:space="preserve"> — the shelf this sits on, and the rest of it.</w:t>
      </w:r>
    </w:p>
    <w:p>
      <w:pPr>
        <w:pStyle w:val="ListParagraph"/>
        <w:numPr>
          <w:ilvl w:val="0"/>
          <w:numId w:val="1"/>
        </w:numPr>
      </w:pPr>
      <w:hyperlink r:id="rId117">
        <w:r>
          <w:rPr>
            <w:color w:val="1F4E79"/>
            <w:u w:val="single"/>
          </w:rPr>
          <w:t xml:space="preserve">Cosmetics</w:t>
        </w:r>
      </w:hyperlink>
      <w:r>
        <w:t xml:space="preserve"> — what the label is legally allowed to say, and the full catalogue.</w:t>
      </w:r>
    </w:p>
    <w:p>
      <w:pPr>
        <w:pStyle w:val="ListParagraph"/>
        <w:numPr>
          <w:ilvl w:val="0"/>
          <w:numId w:val="1"/>
        </w:numPr>
      </w:pPr>
      <w:r>
        <w:t xml:space="preserve">The rest of </w:t>
      </w:r>
      <w:r>
        <w:rPr>
          <w:i/>
        </w:rPr>
        <w:t xml:space="preserve">Body, hand and foot</w:t>
      </w:r>
      <w:r>
        <w:t xml:space="preserve"> — </w:t>
      </w:r>
      <w:hyperlink r:id="rId118">
        <w:r>
          <w:rPr>
            <w:color w:val="1F4E79"/>
            <w:u w:val="single"/>
          </w:rPr>
          <w:t xml:space="preserve">Body Butter</w:t>
        </w:r>
      </w:hyperlink>
      <w:r>
        <w:t xml:space="preserve"> · </w:t>
      </w:r>
      <w:hyperlink r:id="rId119">
        <w:r>
          <w:rPr>
            <w:color w:val="1F4E79"/>
            <w:u w:val="single"/>
          </w:rPr>
          <w:t xml:space="preserve">Body Oil</w:t>
        </w:r>
      </w:hyperlink>
      <w:r>
        <w:t xml:space="preserve"> · </w:t>
      </w:r>
      <w:hyperlink r:id="rId120">
        <w:r>
          <w:rPr>
            <w:color w:val="1F4E79"/>
            <w:u w:val="single"/>
          </w:rPr>
          <w:t xml:space="preserve">Body Scrub</w:t>
        </w:r>
      </w:hyperlink>
      <w:r>
        <w:t xml:space="preserve"> · </w:t>
      </w:r>
      <w:hyperlink r:id="rId121">
        <w:r>
          <w:rPr>
            <w:color w:val="1F4E79"/>
            <w:u w:val="single"/>
          </w:rPr>
          <w:t xml:space="preserve">Hand Cream</w:t>
        </w:r>
      </w:hyperlink>
      <w:r>
        <w:t xml:space="preserve"> · </w:t>
      </w:r>
      <w:hyperlink r:id="rId122">
        <w:r>
          <w:rPr>
            <w:color w:val="1F4E79"/>
            <w:u w:val="single"/>
          </w:rPr>
          <w:t xml:space="preserve">Foot Cream</w:t>
        </w:r>
      </w:hyperlink>
      <w:r>
        <w:t xml:space="preserve"> · </w:t>
      </w:r>
      <w:hyperlink r:id="rId123">
        <w:r>
          <w:rPr>
            <w:color w:val="1F4E79"/>
            <w:u w:val="single"/>
          </w:rPr>
          <w:t xml:space="preserve">Foot Powder and Spray</w:t>
        </w:r>
      </w:hyperlink>
      <w:r>
        <w:t xml:space="preserve"> · </w:t>
      </w:r>
      <w:hyperlink r:id="rId124">
        <w:r>
          <w:rPr>
            <w:color w:val="1F4E79"/>
            <w:u w:val="single"/>
          </w:rPr>
          <w:t xml:space="preserve">Stretch Mark Cream</w:t>
        </w:r>
      </w:hyperlink>
      <w:r>
        <w:t xml:space="preserve"> · </w:t>
      </w:r>
      <w:hyperlink r:id="rId125">
        <w:r>
          <w:rPr>
            <w:color w:val="1F4E79"/>
            <w:u w:val="single"/>
          </w:rPr>
          <w:t xml:space="preserve">Cellulite Cream</w:t>
        </w:r>
      </w:hyperlink>
      <w:r>
        <w:t xml:space="preserve">.</w:t>
      </w:r>
    </w:p>
    <w:p>
      <w:pPr>
        <w:pStyle w:val="ListParagraph"/>
        <w:numPr>
          <w:ilvl w:val="0"/>
          <w:numId w:val="1"/>
        </w:numPr>
      </w:pPr>
      <w:hyperlink r:id="rId126">
        <w:r>
          <w:rPr>
            <w:color w:val="1F4E79"/>
            <w:u w:val="single"/>
          </w:rPr>
          <w:t xml:space="preserve">Baby Lotion</w:t>
        </w:r>
      </w:hyperlink>
      <w:r>
        <w:t xml:space="preserve"> — the same product, formulated for infants.</w:t>
      </w:r>
    </w:p>
    <w:p>
      <w:pPr>
        <w:pStyle w:val="ListParagraph"/>
        <w:numPr>
          <w:ilvl w:val="0"/>
          <w:numId w:val="1"/>
        </w:numPr>
      </w:pPr>
      <w:r>
        <w:t xml:space="preserve">Regulatory statements here follow the FDA and EU sources listed on </w:t>
      </w:r>
      <w:hyperlink r:id="rId127">
        <w:r>
          <w:rPr>
            <w:color w:val="1F4E79"/>
            <w:u w:val="single"/>
          </w:rPr>
          <w:t xml:space="preserve">Cosmetics</w:t>
        </w:r>
      </w:hyperlink>
      <w:r>
        <w:t xml:space="preserve">, read 16 August 2026.</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osmetics/skincare/body-lotion" TargetMode="External"/><Relationship Id="rId101" Type="http://schemas.openxmlformats.org/officeDocument/2006/relationships/hyperlink" Target="https://www.agoramores.com/tags/skincare" TargetMode="External"/><Relationship Id="rId102" Type="http://schemas.openxmlformats.org/officeDocument/2006/relationships/hyperlink" Target="https://www.agoramores.com/cosmetics/skincare/facial-oil" TargetMode="External"/><Relationship Id="rId103" Type="http://schemas.openxmlformats.org/officeDocument/2006/relationships/hyperlink" Target="https://www.agoramores.com/cosmetics/skincare" TargetMode="External"/><Relationship Id="rId104" Type="http://schemas.openxmlformats.org/officeDocument/2006/relationships/hyperlink" Target="https://www.agoramores.com/cosmetics/skincare/body-oil" TargetMode="External"/><Relationship Id="rId105" Type="http://schemas.openxmlformats.org/officeDocument/2006/relationships/hyperlink" Target="https://www.agoramores.com/cosmetics/skincare/brightening-treatment" TargetMode="External"/><Relationship Id="rId106" Type="http://schemas.openxmlformats.org/officeDocument/2006/relationships/hyperlink" Target="https://www.agoramores.com/cosmetics/skincare/occlusive-balm" TargetMode="External"/><Relationship Id="rId107" Type="http://schemas.openxmlformats.org/officeDocument/2006/relationships/hyperlink" Target="https://www.agoramores.com/cosmetics/skincare/cleansing-oil" TargetMode="External"/><Relationship Id="rId108" Type="http://schemas.openxmlformats.org/officeDocument/2006/relationships/hyperlink" Target="https://www.agoramores.com/tags/cosmetics" TargetMode="External"/><Relationship Id="rId109" Type="http://schemas.openxmlformats.org/officeDocument/2006/relationships/hyperlink" Target="https://www.agoramores.com/cosmetics/makeup/lash-primer" TargetMode="External"/><Relationship Id="rId110" Type="http://schemas.openxmlformats.org/officeDocument/2006/relationships/hyperlink" Target="https://www.agoramores.com/cosmetics/makeup/face-powder" TargetMode="External"/><Relationship Id="rId111" Type="http://schemas.openxmlformats.org/officeDocument/2006/relationships/hyperlink" Target="https://www.agoramores.com/cosmetics/makeup/body-paint" TargetMode="External"/><Relationship Id="rId112" Type="http://schemas.openxmlformats.org/officeDocument/2006/relationships/hyperlink" Target="https://www.agoramores.com/cosmetics/bath-and-body/bubble-bath" TargetMode="External"/><Relationship Id="rId113" Type="http://schemas.openxmlformats.org/officeDocument/2006/relationships/hyperlink" Target="https://www.agoramores.com/cosmetics/makeup/lip-gloss" TargetMode="External"/><Relationship Id="rId114" Type="http://schemas.openxmlformats.org/officeDocument/2006/relationships/hyperlink" Target="https://www.agoramores.com/cosmetics/sun-and-tanning/mineral-sunscreen" TargetMode="External"/><Relationship Id="rId115" Type="http://schemas.openxmlformats.org/officeDocument/2006/relationships/hyperlink" Target="https://www.agoramores.com/cosmetics/skincare/body-butter" TargetMode="External"/><Relationship Id="rId116" Type="http://schemas.openxmlformats.org/officeDocument/2006/relationships/hyperlink" Target="https://www.agoramores.com/cosmetics/skincare/portal" TargetMode="External"/><Relationship Id="rId117" Type="http://schemas.openxmlformats.org/officeDocument/2006/relationships/hyperlink" Target="https://www.agoramores.com/cosmetics/portal" TargetMode="External"/><Relationship Id="rId118" Type="http://schemas.openxmlformats.org/officeDocument/2006/relationships/hyperlink" Target="https://www.agoramores.com/cosmetics/skincare/body-butter" TargetMode="External"/><Relationship Id="rId119" Type="http://schemas.openxmlformats.org/officeDocument/2006/relationships/hyperlink" Target="https://www.agoramores.com/cosmetics/skincare/body-oil" TargetMode="External"/><Relationship Id="rId120" Type="http://schemas.openxmlformats.org/officeDocument/2006/relationships/hyperlink" Target="https://www.agoramores.com/cosmetics/skincare/body-scrub" TargetMode="External"/><Relationship Id="rId121" Type="http://schemas.openxmlformats.org/officeDocument/2006/relationships/hyperlink" Target="https://www.agoramores.com/cosmetics/skincare/hand-cream" TargetMode="External"/><Relationship Id="rId122" Type="http://schemas.openxmlformats.org/officeDocument/2006/relationships/hyperlink" Target="https://www.agoramores.com/cosmetics/skincare/foot-cream" TargetMode="External"/><Relationship Id="rId123" Type="http://schemas.openxmlformats.org/officeDocument/2006/relationships/hyperlink" Target="https://www.agoramores.com/cosmetics/skincare/foot-powder" TargetMode="External"/><Relationship Id="rId124" Type="http://schemas.openxmlformats.org/officeDocument/2006/relationships/hyperlink" Target="https://www.agoramores.com/cosmetics/skincare/stretch-mark-cream" TargetMode="External"/><Relationship Id="rId125" Type="http://schemas.openxmlformats.org/officeDocument/2006/relationships/hyperlink" Target="https://www.agoramores.com/cosmetics/skincare/cellulite-cream" TargetMode="External"/><Relationship Id="rId126" Type="http://schemas.openxmlformats.org/officeDocument/2006/relationships/hyperlink" Target="https://www.agoramores.com/cosmetics/baby/baby-lotion" TargetMode="External"/><Relationship Id="rId127" Type="http://schemas.openxmlformats.org/officeDocument/2006/relationships/hyperlink" Target="https://www.agoramores.com/cosmetic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body lotion</dc:title>
  <dc:creator>Agoramores</dc:creator>
  <cp:keywords>cosmetics, skincare</cp:keywords>
  <dcterms:created xsi:type="dcterms:W3CDTF">2026-08-22T03:42:34Z</dcterms:created>
</cp:coreProperties>
</file>