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cuticle remover</w:t>
      </w:r>
    </w:p>
    <w:p>
      <w:pPr>
        <w:pStyle w:val="Subtitle"/>
      </w:pPr>
      <w:hyperlink r:id="rId100">
        <w:r>
          <w:rPr>
            <w:color w:val="1F4E79"/>
            <w:u w:val="single"/>
          </w:rPr>
          <w:t xml:space="preserve">https://www.agoramores.com/cosmetics/nails/cuticle-remover</w:t>
        </w:r>
      </w:hyperlink>
    </w:p>
    <w:p>
      <w:pPr>
        <w:pStyle w:val="Subtitle"/>
      </w:pPr>
      <w:r>
        <w:t xml:space="preserve">Tags: cosmetics · nails</w:t>
      </w:r>
    </w:p>
    <w:p>
      <w:pPr>
        <w:pBdr>
          <w:bottom w:val="single" w:sz="6" w:space="1" w:color="808080"/>
        </w:pBdr>
      </w:pPr>
    </w:p>
    <w:p>
      <w:pPr>
        <w:pStyle w:val="Heading1"/>
      </w:pPr>
      <w:r>
        <w:t xml:space="preserve">Related</w:t>
      </w:r>
    </w:p>
    <w:p>
      <w:pPr>
        <w:pStyle w:val="Heading2"/>
      </w:pPr>
      <w:hyperlink r:id="rId101">
        <w:r>
          <w:rPr>
            <w:color w:val="1F4E79"/>
            <w:u w:val="single"/>
          </w:rPr>
          <w:t xml:space="preserve">nails</w:t>
        </w:r>
      </w:hyperlink>
    </w:p>
    <w:p>
      <w:pPr>
        <w:pStyle w:val="ListParagraph"/>
        <w:numPr>
          <w:ilvl w:val="0"/>
          <w:numId w:val="1"/>
        </w:numPr>
      </w:pPr>
      <w:hyperlink r:id="rId102">
        <w:r>
          <w:rPr>
            <w:color w:val="1F4E79"/>
            <w:u w:val="single"/>
          </w:rPr>
          <w:t xml:space="preserve">nails</w:t>
        </w:r>
      </w:hyperlink>
    </w:p>
    <w:p>
      <w:pPr>
        <w:pStyle w:val="ListParagraph"/>
        <w:numPr>
          <w:ilvl w:val="0"/>
          <w:numId w:val="1"/>
        </w:numPr>
      </w:pPr>
      <w:hyperlink r:id="rId103">
        <w:r>
          <w:rPr>
            <w:color w:val="1F4E79"/>
            <w:u w:val="single"/>
          </w:rPr>
          <w:t xml:space="preserve">gel polish</w:t>
        </w:r>
      </w:hyperlink>
    </w:p>
    <w:p>
      <w:pPr>
        <w:pStyle w:val="ListParagraph"/>
        <w:numPr>
          <w:ilvl w:val="0"/>
          <w:numId w:val="1"/>
        </w:numPr>
      </w:pPr>
      <w:hyperlink r:id="rId104">
        <w:r>
          <w:rPr>
            <w:color w:val="1F4E79"/>
            <w:u w:val="single"/>
          </w:rPr>
          <w:t xml:space="preserve">base coat</w:t>
        </w:r>
      </w:hyperlink>
    </w:p>
    <w:p>
      <w:pPr>
        <w:pStyle w:val="ListParagraph"/>
        <w:numPr>
          <w:ilvl w:val="0"/>
          <w:numId w:val="1"/>
        </w:numPr>
      </w:pPr>
      <w:hyperlink r:id="rId105">
        <w:r>
          <w:rPr>
            <w:color w:val="1F4E79"/>
            <w:u w:val="single"/>
          </w:rPr>
          <w:t xml:space="preserve">acrylic nails</w:t>
        </w:r>
      </w:hyperlink>
    </w:p>
    <w:p>
      <w:pPr>
        <w:pStyle w:val="ListParagraph"/>
        <w:numPr>
          <w:ilvl w:val="0"/>
          <w:numId w:val="1"/>
        </w:numPr>
      </w:pPr>
      <w:hyperlink r:id="rId106">
        <w:r>
          <w:rPr>
            <w:color w:val="1F4E79"/>
            <w:u w:val="single"/>
          </w:rPr>
          <w:t xml:space="preserve">cuticle oil</w:t>
        </w:r>
      </w:hyperlink>
    </w:p>
    <w:p>
      <w:pPr>
        <w:pStyle w:val="ListParagraph"/>
        <w:numPr>
          <w:ilvl w:val="0"/>
          <w:numId w:val="1"/>
        </w:numPr>
      </w:pPr>
      <w:hyperlink r:id="rId107">
        <w:r>
          <w:rPr>
            <w:color w:val="1F4E79"/>
            <w:u w:val="single"/>
          </w:rPr>
          <w:t xml:space="preserve">nail glue</w:t>
        </w:r>
      </w:hyperlink>
    </w:p>
    <w:p>
      <w:pPr>
        <w:pStyle w:val="Heading2"/>
      </w:pPr>
      <w:hyperlink r:id="rId108">
        <w:r>
          <w:rPr>
            <w:color w:val="1F4E79"/>
            <w:u w:val="single"/>
          </w:rPr>
          <w:t xml:space="preserve">cosmetics</w:t>
        </w:r>
      </w:hyperlink>
    </w:p>
    <w:p>
      <w:pPr>
        <w:pStyle w:val="ListParagraph"/>
        <w:numPr>
          <w:ilvl w:val="0"/>
          <w:numId w:val="1"/>
        </w:numPr>
      </w:pPr>
      <w:hyperlink r:id="rId109">
        <w:r>
          <w:rPr>
            <w:color w:val="1F4E79"/>
            <w:u w:val="single"/>
          </w:rPr>
          <w:t xml:space="preserve">aftershave balm</w:t>
        </w:r>
      </w:hyperlink>
    </w:p>
    <w:p>
      <w:pPr>
        <w:pStyle w:val="ListParagraph"/>
        <w:numPr>
          <w:ilvl w:val="0"/>
          <w:numId w:val="1"/>
        </w:numPr>
      </w:pPr>
      <w:hyperlink r:id="rId110">
        <w:r>
          <w:rPr>
            <w:color w:val="1F4E79"/>
            <w:u w:val="single"/>
          </w:rPr>
          <w:t xml:space="preserve">cosmetics</w:t>
        </w:r>
      </w:hyperlink>
    </w:p>
    <w:p>
      <w:pPr>
        <w:pStyle w:val="ListParagraph"/>
        <w:numPr>
          <w:ilvl w:val="0"/>
          <w:numId w:val="1"/>
        </w:numPr>
      </w:pPr>
      <w:hyperlink r:id="rId111">
        <w:r>
          <w:rPr>
            <w:color w:val="1F4E79"/>
            <w:u w:val="single"/>
          </w:rPr>
          <w:t xml:space="preserve">skincare</w:t>
        </w:r>
      </w:hyperlink>
    </w:p>
    <w:p>
      <w:pPr>
        <w:pStyle w:val="ListParagraph"/>
        <w:numPr>
          <w:ilvl w:val="0"/>
          <w:numId w:val="1"/>
        </w:numPr>
      </w:pPr>
      <w:hyperlink r:id="rId112">
        <w:r>
          <w:rPr>
            <w:color w:val="1F4E79"/>
            <w:u w:val="single"/>
          </w:rPr>
          <w:t xml:space="preserve">makeup</w:t>
        </w:r>
      </w:hyperlink>
    </w:p>
    <w:p>
      <w:pPr>
        <w:pStyle w:val="ListParagraph"/>
        <w:numPr>
          <w:ilvl w:val="0"/>
          <w:numId w:val="1"/>
        </w:numPr>
      </w:pPr>
      <w:hyperlink r:id="rId113">
        <w:r>
          <w:rPr>
            <w:color w:val="1F4E79"/>
            <w:u w:val="single"/>
          </w:rPr>
          <w:t xml:space="preserve">haircare</w:t>
        </w:r>
      </w:hyperlink>
    </w:p>
    <w:p>
      <w:pPr>
        <w:pStyle w:val="ListParagraph"/>
        <w:numPr>
          <w:ilvl w:val="0"/>
          <w:numId w:val="1"/>
        </w:numPr>
      </w:pPr>
      <w:hyperlink r:id="rId114">
        <w:r>
          <w:rPr>
            <w:color w:val="1F4E79"/>
            <w:u w:val="single"/>
          </w:rPr>
          <w:t xml:space="preserve">shaving and hair removal</w:t>
        </w:r>
      </w:hyperlink>
    </w:p>
    <w:p>
      <w:pPr>
        <w:pStyle w:val="Heading1"/>
      </w:pPr>
      <w:r>
        <w:t xml:space="preserve">Cuticle Remover</w:t>
      </w:r>
    </w:p>
    <w:p>
      <w:r>
        <w:t xml:space="preserve">An alkaline liquid or gel that dissolves the dead tissue on the nail plate so it can be
pushed away. It is a genuinely useful product used correctly and a corrosive one used
carelessly, and the difference is a couple of minutes on a timer.</w:t>
      </w:r>
    </w:p>
    <w:p>
      <w:pPr>
        <w:pStyle w:val="Heading2"/>
      </w:pPr>
      <w:r>
        <w:t xml:space="preserve">What it dissolves, and what it must not</w:t>
      </w:r>
    </w:p>
    <w:p>
      <w:r>
        <w:t xml:space="preserve">The distinction from </w:t>
      </w:r>
      <w:hyperlink r:id="rId115">
        <w:r>
          <w:rPr>
            <w:color w:val="1F4E79"/>
            <w:u w:val="single"/>
          </w:rPr>
          <w:t xml:space="preserve">Cuticle Oil</w:t>
        </w:r>
      </w:hyperlink>
      <w:r>
        <w:t xml:space="preserve"> matters here:</w:t>
      </w:r>
    </w:p>
    <w:p>
      <w:pPr>
        <w:pStyle w:val="ListParagraph"/>
        <w:numPr>
          <w:ilvl w:val="0"/>
          <w:numId w:val="1"/>
        </w:numPr>
      </w:pPr>
      <w:r>
        <w:rPr>
          <w:b/>
        </w:rPr>
        <w:t xml:space="preserve">The cuticle proper</w:t>
      </w:r>
      <w:r>
        <w:t xml:space="preserve"> — a thin layer of </w:t>
      </w:r>
      <w:r>
        <w:rPr>
          <w:b/>
        </w:rPr>
        <w:t xml:space="preserve">dead</w:t>
      </w:r>
      <w:r>
        <w:t xml:space="preserve"> tissue shed onto the nail plate from
the underside of the skin fold. This is what the product is for.</w:t>
      </w:r>
    </w:p>
    <w:p>
      <w:pPr>
        <w:pStyle w:val="ListParagraph"/>
        <w:numPr>
          <w:ilvl w:val="0"/>
          <w:numId w:val="1"/>
        </w:numPr>
      </w:pPr>
      <w:r>
        <w:rPr>
          <w:b/>
        </w:rPr>
        <w:t xml:space="preserve">The eponychium</w:t>
      </w:r>
      <w:r>
        <w:t xml:space="preserve"> — the </w:t>
      </w:r>
      <w:r>
        <w:rPr>
          <w:b/>
        </w:rPr>
        <w:t xml:space="preserve">living</w:t>
      </w:r>
      <w:r>
        <w:t xml:space="preserve"> fold of skin at the base of the nail, and a
barrier against water, bacteria and fungi. This must not be dissolved, pushed
aggressively or cut.</w:t>
      </w:r>
    </w:p>
    <w:p>
      <w:r>
        <w:t xml:space="preserve">Cuticle remover is a keratolytic. It cannot distinguish dead keratin from living skin,
which is why the timing instruction is not decorative.</w:t>
      </w:r>
    </w:p>
    <w:p>
      <w:pPr>
        <w:pStyle w:val="Heading2"/>
      </w:pPr>
      <w:r>
        <w:t xml:space="preserve">The chemistry</w:t>
      </w:r>
    </w:p>
    <w:tbl>
      <w:tblPr>
        <w:tblStyle w:val="TableGrid"/>
        <w:tblW w:w="0" w:type="auto"/>
      </w:tblPr>
      <w:tblGrid>
        <w:gridCol w:w="2400"/>
        <w:gridCol w:w="2400"/>
        <w:gridCol w:w="2400"/>
      </w:tblGrid>
      <w:tr>
        <w:trPr>
          <w:tblHeader/>
        </w:trPr>
        <w:tc>
          <w:tcPr>
            <w:tcW w:w="2400" w:type="dxa"/>
          </w:tcPr>
          <w:p>
            <w:pPr>
              <w:pStyle w:val="TableText"/>
            </w:pPr>
            <w:r>
              <w:rPr>
                <w:b/>
              </w:rPr>
              <w:t xml:space="preserve">Active</w:t>
            </w:r>
          </w:p>
        </w:tc>
        <w:tc>
          <w:tcPr>
            <w:tcW w:w="2400" w:type="dxa"/>
          </w:tcPr>
          <w:p>
            <w:pPr>
              <w:pStyle w:val="TableText"/>
            </w:pPr>
            <w:r>
              <w:rPr>
                <w:b/>
              </w:rPr>
              <w:t xml:space="preserve">Typical</w:t>
            </w:r>
          </w:p>
        </w:tc>
        <w:tc>
          <w:tcPr>
            <w:tcW w:w="2400" w:type="dxa"/>
          </w:tcPr>
          <w:p>
            <w:pPr>
              <w:pStyle w:val="TableText"/>
            </w:pPr>
            <w:r>
              <w:rPr>
                <w:b/>
              </w:rPr>
              <w:t xml:space="preserve">Note</w:t>
            </w:r>
          </w:p>
        </w:tc>
      </w:tr>
      <w:tr>
        <w:tc>
          <w:tcPr>
            <w:tcW w:w="2400" w:type="dxa"/>
          </w:tcPr>
          <w:p>
            <w:pPr>
              <w:pStyle w:val="TableText"/>
            </w:pPr>
            <w:r>
              <w:rPr>
                <w:b/>
              </w:rPr>
              <w:t xml:space="preserve">Potassium hydroxide</w:t>
            </w:r>
          </w:p>
        </w:tc>
        <w:tc>
          <w:tcPr>
            <w:tcW w:w="2400" w:type="dxa"/>
          </w:tcPr>
          <w:p>
            <w:pPr>
              <w:pStyle w:val="TableText"/>
            </w:pPr>
            <w:r>
              <w:t xml:space="preserve">2–5%</w:t>
            </w:r>
          </w:p>
        </w:tc>
        <w:tc>
          <w:tcPr>
            <w:tcW w:w="2400" w:type="dxa"/>
          </w:tcPr>
          <w:p>
            <w:pPr>
              <w:pStyle w:val="TableText"/>
            </w:pPr>
            <w:r>
              <w:t xml:space="preserve">The classic; strongly alkaline, pH 11–13</w:t>
            </w:r>
          </w:p>
        </w:tc>
      </w:tr>
      <w:tr>
        <w:tc>
          <w:tcPr>
            <w:tcW w:w="2400" w:type="dxa"/>
          </w:tcPr>
          <w:p>
            <w:pPr>
              <w:pStyle w:val="TableText"/>
            </w:pPr>
            <w:r>
              <w:rPr>
                <w:b/>
              </w:rPr>
              <w:t xml:space="preserve">Sodium hydroxide</w:t>
            </w:r>
          </w:p>
        </w:tc>
        <w:tc>
          <w:tcPr>
            <w:tcW w:w="2400" w:type="dxa"/>
          </w:tcPr>
          <w:p>
            <w:pPr>
              <w:pStyle w:val="TableText"/>
            </w:pPr>
            <w:r>
              <w:t xml:space="preserve">2–5%</w:t>
            </w:r>
          </w:p>
        </w:tc>
        <w:tc>
          <w:tcPr>
            <w:tcW w:w="2400" w:type="dxa"/>
          </w:tcPr>
          <w:p>
            <w:pPr>
              <w:pStyle w:val="TableText"/>
            </w:pPr>
            <w:r>
              <w:t xml:space="preserve">Same behaviour</w:t>
            </w:r>
          </w:p>
        </w:tc>
      </w:tr>
      <w:tr>
        <w:tc>
          <w:tcPr>
            <w:tcW w:w="2400" w:type="dxa"/>
          </w:tcPr>
          <w:p>
            <w:pPr>
              <w:pStyle w:val="TableText"/>
            </w:pPr>
            <w:r>
              <w:rPr>
                <w:b/>
              </w:rPr>
              <w:t xml:space="preserve">Triethanolamine</w:t>
            </w:r>
          </w:p>
        </w:tc>
        <w:tc>
          <w:tcPr>
            <w:tcW w:w="2400" w:type="dxa"/>
          </w:tcPr>
          <w:p>
            <w:pPr>
              <w:pStyle w:val="TableText"/>
            </w:pPr>
            <w:r>
              <w:t xml:space="preserve">Milder alkali</w:t>
            </w:r>
          </w:p>
        </w:tc>
        <w:tc>
          <w:tcPr>
            <w:tcW w:w="2400" w:type="dxa"/>
          </w:tcPr>
          <w:p>
            <w:pPr>
              <w:pStyle w:val="TableText"/>
            </w:pPr>
            <w:r>
              <w:t xml:space="preserve">Gentler, slower</w:t>
            </w:r>
          </w:p>
        </w:tc>
      </w:tr>
      <w:tr>
        <w:tc>
          <w:tcPr>
            <w:tcW w:w="2400" w:type="dxa"/>
          </w:tcPr>
          <w:p>
            <w:pPr>
              <w:pStyle w:val="TableText"/>
            </w:pPr>
            <w:r>
              <w:rPr>
                <w:b/>
              </w:rPr>
              <w:t xml:space="preserve">Urea</w:t>
            </w:r>
          </w:p>
        </w:tc>
        <w:tc>
          <w:tcPr>
            <w:tcW w:w="2400" w:type="dxa"/>
          </w:tcPr>
          <w:p>
            <w:pPr>
              <w:pStyle w:val="TableText"/>
            </w:pPr>
            <w:r>
              <w:t xml:space="preserve">Keratolytic humectant</w:t>
            </w:r>
          </w:p>
        </w:tc>
        <w:tc>
          <w:tcPr>
            <w:tcW w:w="2400" w:type="dxa"/>
          </w:tcPr>
          <w:p>
            <w:pPr>
              <w:pStyle w:val="TableText"/>
            </w:pPr>
            <w:r>
              <w:t xml:space="preserve">The gentlest option</w:t>
            </w:r>
          </w:p>
        </w:tc>
      </w:tr>
      <w:tr>
        <w:tc>
          <w:tcPr>
            <w:tcW w:w="2400" w:type="dxa"/>
          </w:tcPr>
          <w:p>
            <w:pPr>
              <w:pStyle w:val="TableText"/>
            </w:pPr>
            <w:r>
              <w:rPr>
                <w:b/>
              </w:rPr>
              <w:t xml:space="preserve">AHAs</w:t>
            </w:r>
            <w:r>
              <w:t xml:space="preserve"> — lactic, glycolic</w:t>
            </w:r>
          </w:p>
        </w:tc>
        <w:tc>
          <w:tcPr>
            <w:tcW w:w="2400" w:type="dxa"/>
          </w:tcPr>
          <w:p>
            <w:pPr>
              <w:pStyle w:val="TableText"/>
            </w:pPr>
            <w:r>
              <w:t xml:space="preserve">Acid route</w:t>
            </w:r>
          </w:p>
        </w:tc>
        <w:tc>
          <w:tcPr>
            <w:tcW w:w="2400" w:type="dxa"/>
          </w:tcPr>
          <w:p>
            <w:pPr>
              <w:pStyle w:val="TableText"/>
            </w:pPr>
            <w:r>
              <w:t xml:space="preserve">Slower and much milder</w:t>
            </w:r>
          </w:p>
        </w:tc>
      </w:tr>
    </w:tbl>
    <w:p/>
    <w:p>
      <w:r>
        <w:t xml:space="preserve">Alkali </w:t>
      </w:r>
      <w:r>
        <w:rPr>
          <w:b/>
        </w:rPr>
        <w:t xml:space="preserve">swells and hydrolyses keratin</w:t>
      </w:r>
      <w:r>
        <w:t xml:space="preserve">, breaking the bonds holding the dead layer to
the plate. Left on too long it does the same to living skin, causing irritation,
whitening, burning and, in extreme cases, chemical burns.</w:t>
      </w:r>
    </w:p>
    <w:p>
      <w:pPr>
        <w:pStyle w:val="Heading2"/>
      </w:pPr>
      <w:r>
        <w:t xml:space="preserve">Using it</w:t>
      </w:r>
    </w:p>
    <w:p>
      <w:pPr>
        <w:pStyle w:val="ListParagraph"/>
        <w:numPr>
          <w:ilvl w:val="0"/>
          <w:numId w:val="2"/>
        </w:numPr>
      </w:pPr>
      <w:r>
        <w:rPr>
          <w:b/>
        </w:rPr>
        <w:t xml:space="preserve">Soak briefly</w:t>
      </w:r>
      <w:r>
        <w:t xml:space="preserve"> in warm water first — a minute is enough.</w:t>
      </w:r>
    </w:p>
    <w:p>
      <w:pPr>
        <w:pStyle w:val="ListParagraph"/>
        <w:numPr>
          <w:ilvl w:val="0"/>
          <w:numId w:val="2"/>
        </w:numPr>
      </w:pPr>
      <w:r>
        <w:rPr>
          <w:b/>
        </w:rPr>
        <w:t xml:space="preserve">Apply along the cuticle line only</w:t>
      </w:r>
      <w:r>
        <w:t xml:space="preserve">, not flooded over the whole nail.</w:t>
      </w:r>
    </w:p>
    <w:p>
      <w:pPr>
        <w:pStyle w:val="ListParagraph"/>
        <w:numPr>
          <w:ilvl w:val="0"/>
          <w:numId w:val="2"/>
        </w:numPr>
      </w:pPr>
      <w:r>
        <w:rPr>
          <w:b/>
        </w:rPr>
        <w:t xml:space="preserve">Time it. Two to three minutes, or whatever the product says — not longer.</w:t>
      </w:r>
      <w:r>
        <w:t xml:space="preserve"> This is
the whole safety instruction.</w:t>
      </w:r>
    </w:p>
    <w:p>
      <w:pPr>
        <w:pStyle w:val="ListParagraph"/>
        <w:numPr>
          <w:ilvl w:val="0"/>
          <w:numId w:val="2"/>
        </w:numPr>
      </w:pPr>
      <w:r>
        <w:rPr>
          <w:b/>
        </w:rPr>
        <w:t xml:space="preserve">Push back gently</w:t>
      </w:r>
      <w:r>
        <w:t xml:space="preserve"> with a wooden stick or a rubber-tipped pusher. Metal pushers
used with force scratch the nail plate and damage the matrix.</w:t>
      </w:r>
    </w:p>
    <w:p>
      <w:pPr>
        <w:pStyle w:val="ListParagraph"/>
        <w:numPr>
          <w:ilvl w:val="0"/>
          <w:numId w:val="2"/>
        </w:numPr>
      </w:pPr>
      <w:r>
        <w:rPr>
          <w:b/>
        </w:rPr>
        <w:t xml:space="preserve">Rinse thoroughly.</w:t>
      </w:r>
      <w:r>
        <w:t xml:space="preserve"> Residual alkali keeps working.</w:t>
      </w:r>
    </w:p>
    <w:p>
      <w:pPr>
        <w:pStyle w:val="ListParagraph"/>
        <w:numPr>
          <w:ilvl w:val="0"/>
          <w:numId w:val="2"/>
        </w:numPr>
      </w:pPr>
      <w:r>
        <w:rPr>
          <w:b/>
        </w:rPr>
        <w:t xml:space="preserve">Follow with cuticle oil</w:t>
      </w:r>
      <w:r>
        <w:t xml:space="preserve">, because the alkali has left the area dry and the pH
raised.</w:t>
      </w:r>
    </w:p>
    <w:p>
      <w:r>
        <w:rPr>
          <w:b/>
        </w:rPr>
        <w:t xml:space="preserve">Do not cut.</w:t>
      </w:r>
      <w:r>
        <w:t xml:space="preserve"> The temptation after a remover is to trim what has lifted, and cutting
the eponychium is the standard route to a nail infection. Push, wipe, and stop.</w:t>
      </w:r>
    </w:p>
    <w:p>
      <w:r>
        <w:rPr>
          <w:b/>
        </w:rPr>
        <w:t xml:space="preserve">Not on broken skin, hangnails, an infected nail fold, or eczema.</w:t>
      </w:r>
    </w:p>
    <w:p>
      <w:pPr>
        <w:pStyle w:val="Heading2"/>
      </w:pPr>
      <w:r>
        <w:t xml:space="preserve">Where it sits in the rules</w:t>
      </w:r>
    </w:p>
    <w:p>
      <w:r>
        <w:rPr>
          <w:b/>
        </w:rPr>
        <w:t xml:space="preserve">Cosmetic</w:t>
      </w:r>
      <w:r>
        <w:t xml:space="preserve"> in the US — FDA primary category </w:t>
      </w:r>
      <w:r>
        <w:rPr>
          <w:b/>
        </w:rPr>
        <w:t xml:space="preserve">(10) manicuring preparations</w:t>
      </w:r>
      <w:r>
        <w:t xml:space="preserve"> — with
</w:t>
      </w:r>
      <w:r>
        <w:rPr>
          <w:b/>
        </w:rPr>
        <w:t xml:space="preserve">no premarket approval</w:t>
      </w:r>
      <w:r>
        <w:t xml:space="preserve">. A product containing 3% potassium hydroxide is sold over the
counter with a timing instruction and no further control.</w:t>
      </w:r>
    </w:p>
    <w:p>
      <w:r>
        <w:t xml:space="preserve">Under MoCRA, facilities register and products are listed, safety substantiation records
must be held, and </w:t>
      </w:r>
      <w:r>
        <w:rPr>
          <w:b/>
        </w:rPr>
        <w:t xml:space="preserve">serious adverse events are reportable to FDA within 15 business
days</w:t>
      </w:r>
      <w:r>
        <w:t xml:space="preserve">. Salon practice — including prohibitions on cutting living tissue in most US
states — is regulated by </w:t>
      </w:r>
      <w:r>
        <w:rPr>
          <w:b/>
        </w:rPr>
        <w:t xml:space="preserve">state cosmetology boards</w:t>
      </w:r>
      <w:r>
        <w:t xml:space="preserve">.</w:t>
      </w:r>
    </w:p>
    <w:p>
      <w:r>
        <w:t xml:space="preserve">In the EU, </w:t>
      </w:r>
      <w:r>
        <w:rPr>
          <w:b/>
        </w:rPr>
        <w:t xml:space="preserve">sodium and potassium hydroxide are restricted under Annex III</w:t>
      </w:r>
      <w:r>
        <w:t xml:space="preserve">, with
specific limits for cuticle solvents (up to 5%) and mandatory warnings including
"Contains alkali", "Avoid contact with eyes", "Can cause blindness" and "Keep out of
reach of children". That is a materially more explicit labelling regime than the US
one.</w:t>
      </w:r>
    </w:p>
    <w:p>
      <w:pPr>
        <w:pStyle w:val="Heading2"/>
      </w:pPr>
      <w:r>
        <w:t xml:space="preserve">Shelf life</w:t>
      </w:r>
    </w:p>
    <w:p>
      <w:r>
        <w:rPr>
          <w:b/>
        </w:rPr>
        <w:t xml:space="preserve">12–24 months after opening.</w:t>
      </w:r>
      <w:r>
        <w:t xml:space="preserve"> Alkaline solutions are self-preserving at that pH, so
microbial spoilage is not the issue.</w:t>
      </w:r>
    </w:p>
    <w:p>
      <w:r>
        <w:t xml:space="preserve">What does change: </w:t>
      </w:r>
      <w:r>
        <w:rPr>
          <w:b/>
        </w:rPr>
        <w:t xml:space="preserve">the alkali reacts with atmospheric carbon dioxide</w:t>
      </w:r>
      <w:r>
        <w:t xml:space="preserve"> over time,
gradually neutralising and weakening the product. An old remover simply does less, which
tempts longer application times — the wrong response. Keep it tightly capped and replace
it rather than leaving it on longer.</w:t>
      </w:r>
    </w:p>
    <w:p>
      <w:pPr>
        <w:pStyle w:val="Heading2"/>
      </w:pPr>
      <w:r>
        <w:t xml:space="preserve">Related</w:t>
      </w:r>
    </w:p>
    <w:p>
      <w:pPr>
        <w:pStyle w:val="ListParagraph"/>
        <w:numPr>
          <w:ilvl w:val="0"/>
          <w:numId w:val="1"/>
        </w:numPr>
      </w:pPr>
      <w:hyperlink r:id="rId116">
        <w:r>
          <w:rPr>
            <w:color w:val="1F4E79"/>
            <w:u w:val="single"/>
          </w:rPr>
          <w:t xml:space="preserve">Nails</w:t>
        </w:r>
      </w:hyperlink>
      <w:r>
        <w:t xml:space="preserve"> — the shelf this sits on, and the rest of it.</w:t>
      </w:r>
    </w:p>
    <w:p>
      <w:pPr>
        <w:pStyle w:val="ListParagraph"/>
        <w:numPr>
          <w:ilvl w:val="0"/>
          <w:numId w:val="1"/>
        </w:numPr>
      </w:pPr>
      <w:hyperlink r:id="rId117">
        <w:r>
          <w:rPr>
            <w:color w:val="1F4E79"/>
            <w:u w:val="single"/>
          </w:rPr>
          <w:t xml:space="preserve">Cosmetics</w:t>
        </w:r>
      </w:hyperlink>
      <w:r>
        <w:t xml:space="preserve"> — what the label is legally allowed to say, and the full catalogue.</w:t>
      </w:r>
    </w:p>
    <w:p>
      <w:pPr>
        <w:pStyle w:val="ListParagraph"/>
        <w:numPr>
          <w:ilvl w:val="0"/>
          <w:numId w:val="1"/>
        </w:numPr>
      </w:pPr>
      <w:r>
        <w:t xml:space="preserve">The rest of </w:t>
      </w:r>
      <w:r>
        <w:rPr>
          <w:i/>
        </w:rPr>
        <w:t xml:space="preserve">Care</w:t>
      </w:r>
      <w:r>
        <w:t xml:space="preserve"> — </w:t>
      </w:r>
      <w:hyperlink r:id="rId118">
        <w:r>
          <w:rPr>
            <w:color w:val="1F4E79"/>
            <w:u w:val="single"/>
          </w:rPr>
          <w:t xml:space="preserve">Cuticle Oil</w:t>
        </w:r>
      </w:hyperlink>
      <w:r>
        <w:t xml:space="preserve"> · </w:t>
      </w:r>
      <w:hyperlink r:id="rId119">
        <w:r>
          <w:rPr>
            <w:color w:val="1F4E79"/>
            <w:u w:val="single"/>
          </w:rPr>
          <w:t xml:space="preserve">Nail Strengthener</w:t>
        </w:r>
      </w:hyperlink>
      <w:r>
        <w:t xml:space="preserve"> · </w:t>
      </w:r>
      <w:hyperlink r:id="rId120">
        <w:r>
          <w:rPr>
            <w:color w:val="1F4E79"/>
            <w:u w:val="single"/>
          </w:rPr>
          <w:t xml:space="preserve">Nail Cream and Lotion</w:t>
        </w:r>
      </w:hyperlink>
      <w:r>
        <w:t xml:space="preserve"> · </w:t>
      </w:r>
      <w:hyperlink r:id="rId121">
        <w:r>
          <w:rPr>
            <w:color w:val="1F4E79"/>
            <w:u w:val="single"/>
          </w:rPr>
          <w:t xml:space="preserve">Nail Ridge Filler</w:t>
        </w:r>
      </w:hyperlink>
      <w:r>
        <w:t xml:space="preserve">.</w:t>
      </w:r>
    </w:p>
    <w:p>
      <w:pPr>
        <w:pStyle w:val="ListParagraph"/>
        <w:numPr>
          <w:ilvl w:val="0"/>
          <w:numId w:val="1"/>
        </w:numPr>
      </w:pPr>
      <w:r>
        <w:t xml:space="preserve">Regulatory statements here follow the FDA and EU sources listed on </w:t>
      </w:r>
      <w:hyperlink r:id="rId122">
        <w:r>
          <w:rPr>
            <w:color w:val="1F4E79"/>
            <w:u w:val="single"/>
          </w:rPr>
          <w:t xml:space="preserve">Cosmetics</w:t>
        </w:r>
      </w:hyperlink>
      <w:r>
        <w:t xml:space="preserve">, read 16 August 2026.</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smetics/nails/cuticle-remover" TargetMode="External"/><Relationship Id="rId101" Type="http://schemas.openxmlformats.org/officeDocument/2006/relationships/hyperlink" Target="https://www.agoramores.com/tags/nails" TargetMode="External"/><Relationship Id="rId102" Type="http://schemas.openxmlformats.org/officeDocument/2006/relationships/hyperlink" Target="https://www.agoramores.com/cosmetics/nails" TargetMode="External"/><Relationship Id="rId103" Type="http://schemas.openxmlformats.org/officeDocument/2006/relationships/hyperlink" Target="https://www.agoramores.com/cosmetics/nails/gel-polish" TargetMode="External"/><Relationship Id="rId104" Type="http://schemas.openxmlformats.org/officeDocument/2006/relationships/hyperlink" Target="https://www.agoramores.com/cosmetics/nails/base-coat" TargetMode="External"/><Relationship Id="rId105" Type="http://schemas.openxmlformats.org/officeDocument/2006/relationships/hyperlink" Target="https://www.agoramores.com/cosmetics/nails/acrylic-nails" TargetMode="External"/><Relationship Id="rId106" Type="http://schemas.openxmlformats.org/officeDocument/2006/relationships/hyperlink" Target="https://www.agoramores.com/cosmetics/nails/cuticle-oil" TargetMode="External"/><Relationship Id="rId107" Type="http://schemas.openxmlformats.org/officeDocument/2006/relationships/hyperlink" Target="https://www.agoramores.com/cosmetics/nails/nail-glue" TargetMode="External"/><Relationship Id="rId108" Type="http://schemas.openxmlformats.org/officeDocument/2006/relationships/hyperlink" Target="https://www.agoramores.com/tags/cosmetics" TargetMode="External"/><Relationship Id="rId109" Type="http://schemas.openxmlformats.org/officeDocument/2006/relationships/hyperlink" Target="https://www.agoramores.com/cosmetics/shaving-and-hair-removal/aftershave-balm" TargetMode="External"/><Relationship Id="rId110" Type="http://schemas.openxmlformats.org/officeDocument/2006/relationships/hyperlink" Target="https://www.agoramores.com/cosmetics" TargetMode="External"/><Relationship Id="rId111" Type="http://schemas.openxmlformats.org/officeDocument/2006/relationships/hyperlink" Target="https://www.agoramores.com/cosmetics/skincare" TargetMode="External"/><Relationship Id="rId112" Type="http://schemas.openxmlformats.org/officeDocument/2006/relationships/hyperlink" Target="https://www.agoramores.com/cosmetics/makeup" TargetMode="External"/><Relationship Id="rId113" Type="http://schemas.openxmlformats.org/officeDocument/2006/relationships/hyperlink" Target="https://www.agoramores.com/cosmetics/haircare" TargetMode="External"/><Relationship Id="rId114" Type="http://schemas.openxmlformats.org/officeDocument/2006/relationships/hyperlink" Target="https://www.agoramores.com/cosmetics/shaving-and-hair-removal" TargetMode="External"/><Relationship Id="rId115" Type="http://schemas.openxmlformats.org/officeDocument/2006/relationships/hyperlink" Target="https://www.agoramores.com/cosmetics/nails/cuticle-oil" TargetMode="External"/><Relationship Id="rId116" Type="http://schemas.openxmlformats.org/officeDocument/2006/relationships/hyperlink" Target="https://www.agoramores.com/cosmetics/nails/portal" TargetMode="External"/><Relationship Id="rId117" Type="http://schemas.openxmlformats.org/officeDocument/2006/relationships/hyperlink" Target="https://www.agoramores.com/cosmetics/portal" TargetMode="External"/><Relationship Id="rId118" Type="http://schemas.openxmlformats.org/officeDocument/2006/relationships/hyperlink" Target="https://www.agoramores.com/cosmetics/nails/cuticle-oil" TargetMode="External"/><Relationship Id="rId119" Type="http://schemas.openxmlformats.org/officeDocument/2006/relationships/hyperlink" Target="https://www.agoramores.com/cosmetics/nails/nail-strengthener" TargetMode="External"/><Relationship Id="rId120" Type="http://schemas.openxmlformats.org/officeDocument/2006/relationships/hyperlink" Target="https://www.agoramores.com/cosmetics/nails/nail-cream" TargetMode="External"/><Relationship Id="rId121" Type="http://schemas.openxmlformats.org/officeDocument/2006/relationships/hyperlink" Target="https://www.agoramores.com/cosmetics/nails/nail-ridge-filler" TargetMode="External"/><Relationship Id="rId122" Type="http://schemas.openxmlformats.org/officeDocument/2006/relationships/hyperlink" Target="https://www.agoramores.com/cosmetics/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cuticle remover</dc:title>
  <dc:creator>Agoramores</dc:creator>
  <cp:keywords>cosmetics, nails</cp:keywords>
  <dcterms:created xsi:type="dcterms:W3CDTF">2026-08-22T07:25:07Z</dcterms:created>
</cp:coreProperties>
</file>