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foundation</w:t>
      </w:r>
    </w:p>
    <w:p>
      <w:pPr>
        <w:pStyle w:val="Subtitle"/>
      </w:pPr>
      <w:hyperlink r:id="rId100">
        <w:r>
          <w:rPr>
            <w:color w:val="1F4E79"/>
            <w:u w:val="single"/>
          </w:rPr>
          <w:t xml:space="preserve">https://www.agoramores.com/cosmetics/makeup/foundation</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lash primer</w:t>
        </w:r>
      </w:hyperlink>
    </w:p>
    <w:p>
      <w:pPr>
        <w:pStyle w:val="ListParagraph"/>
        <w:numPr>
          <w:ilvl w:val="0"/>
          <w:numId w:val="1"/>
        </w:numPr>
      </w:pPr>
      <w:hyperlink r:id="rId103">
        <w:r>
          <w:rPr>
            <w:color w:val="1F4E79"/>
            <w:u w:val="single"/>
          </w:rPr>
          <w:t xml:space="preserve">makeup</w:t>
        </w:r>
      </w:hyperlink>
    </w:p>
    <w:p>
      <w:pPr>
        <w:pStyle w:val="ListParagraph"/>
        <w:numPr>
          <w:ilvl w:val="0"/>
          <w:numId w:val="1"/>
        </w:numPr>
      </w:pPr>
      <w:hyperlink r:id="rId104">
        <w:r>
          <w:rPr>
            <w:color w:val="1F4E79"/>
            <w:u w:val="single"/>
          </w:rPr>
          <w:t xml:space="preserve">eye makeup remover</w:t>
        </w:r>
      </w:hyperlink>
    </w:p>
    <w:p>
      <w:pPr>
        <w:pStyle w:val="ListParagraph"/>
        <w:numPr>
          <w:ilvl w:val="0"/>
          <w:numId w:val="1"/>
        </w:numPr>
      </w:pPr>
      <w:hyperlink r:id="rId105">
        <w:r>
          <w:rPr>
            <w:color w:val="1F4E79"/>
            <w:u w:val="single"/>
          </w:rPr>
          <w:t xml:space="preserve">eyelash adhesive</w:t>
        </w:r>
      </w:hyperlink>
    </w:p>
    <w:p>
      <w:pPr>
        <w:pStyle w:val="ListParagraph"/>
        <w:numPr>
          <w:ilvl w:val="0"/>
          <w:numId w:val="1"/>
        </w:numPr>
      </w:pPr>
      <w:hyperlink r:id="rId106">
        <w:r>
          <w:rPr>
            <w:color w:val="1F4E79"/>
            <w:u w:val="single"/>
          </w:rPr>
          <w:t xml:space="preserve">eyelash serum</w:t>
        </w:r>
      </w:hyperlink>
    </w:p>
    <w:p>
      <w:pPr>
        <w:pStyle w:val="ListParagraph"/>
        <w:numPr>
          <w:ilvl w:val="0"/>
          <w:numId w:val="1"/>
        </w:numPr>
      </w:pPr>
      <w:hyperlink r:id="rId107">
        <w:r>
          <w:rPr>
            <w:color w:val="1F4E79"/>
            <w:u w:val="single"/>
          </w:rPr>
          <w:t xml:space="preserve">eyeshadow</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cosmetics</w:t>
        </w:r>
      </w:hyperlink>
    </w:p>
    <w:p>
      <w:pPr>
        <w:pStyle w:val="ListParagraph"/>
        <w:numPr>
          <w:ilvl w:val="0"/>
          <w:numId w:val="1"/>
        </w:numPr>
      </w:pPr>
      <w:hyperlink r:id="rId110">
        <w:r>
          <w:rPr>
            <w:color w:val="1F4E79"/>
            <w:u w:val="single"/>
          </w:rPr>
          <w:t xml:space="preserve">oral care</w:t>
        </w:r>
      </w:hyperlink>
    </w:p>
    <w:p>
      <w:pPr>
        <w:pStyle w:val="ListParagraph"/>
        <w:numPr>
          <w:ilvl w:val="0"/>
          <w:numId w:val="1"/>
        </w:numPr>
      </w:pPr>
      <w:hyperlink r:id="rId111">
        <w:r>
          <w:rPr>
            <w:color w:val="1F4E79"/>
            <w:u w:val="single"/>
          </w:rPr>
          <w:t xml:space="preserve">permanent hair dye</w:t>
        </w:r>
      </w:hyperlink>
    </w:p>
    <w:p>
      <w:pPr>
        <w:pStyle w:val="ListParagraph"/>
        <w:numPr>
          <w:ilvl w:val="0"/>
          <w:numId w:val="1"/>
        </w:numPr>
      </w:pPr>
      <w:hyperlink r:id="rId112">
        <w:r>
          <w:rPr>
            <w:color w:val="1F4E79"/>
            <w:u w:val="single"/>
          </w:rPr>
          <w:t xml:space="preserve">concealer</w:t>
        </w:r>
      </w:hyperlink>
    </w:p>
    <w:p>
      <w:pPr>
        <w:pStyle w:val="ListParagraph"/>
        <w:numPr>
          <w:ilvl w:val="0"/>
          <w:numId w:val="1"/>
        </w:numPr>
      </w:pPr>
      <w:hyperlink r:id="rId113">
        <w:r>
          <w:rPr>
            <w:color w:val="1F4E79"/>
            <w:u w:val="single"/>
          </w:rPr>
          <w:t xml:space="preserve">eyelash cleanser</w:t>
        </w:r>
      </w:hyperlink>
    </w:p>
    <w:p>
      <w:pPr>
        <w:pStyle w:val="ListParagraph"/>
        <w:numPr>
          <w:ilvl w:val="0"/>
          <w:numId w:val="1"/>
        </w:numPr>
      </w:pPr>
      <w:hyperlink r:id="rId114">
        <w:r>
          <w:rPr>
            <w:color w:val="1F4E79"/>
            <w:u w:val="single"/>
          </w:rPr>
          <w:t xml:space="preserve">face primer</w:t>
        </w:r>
      </w:hyperlink>
    </w:p>
    <w:p>
      <w:pPr>
        <w:pStyle w:val="Heading1"/>
      </w:pPr>
      <w:r>
        <w:t xml:space="preserve">Foundation</w:t>
      </w:r>
    </w:p>
    <w:p>
      <w:r>
        <w:t xml:space="preserve">Pigment suspended in a vehicle and spread over the face to even out colour. Foundation
is the largest single category in colour cosmetics by revenue, the hardest product in
the catalogue to buy correctly, and the one where the industry's shade record is a
live and legitimate subject of criticism.</w:t>
      </w:r>
    </w:p>
    <w:p>
      <w:pPr>
        <w:pStyle w:val="Heading2"/>
      </w:pPr>
      <w:r>
        <w:t xml:space="preserve">What is in it</w:t>
      </w:r>
    </w:p>
    <w:tbl>
      <w:tblPr>
        <w:tblStyle w:val="TableGrid"/>
        <w:tblW w:w="0" w:type="auto"/>
      </w:tblPr>
      <w:tblGrid>
        <w:gridCol w:w="2400"/>
        <w:gridCol w:w="2400"/>
        <w:gridCol w:w="2400"/>
      </w:tblGrid>
      <w:tr>
        <w:trPr>
          <w:tblHeader/>
        </w:trPr>
        <w:tc>
          <w:tcPr>
            <w:tcW w:w="2400" w:type="dxa"/>
          </w:tcPr>
          <w:p>
            <w:pPr>
              <w:pStyle w:val="TableText"/>
            </w:pPr>
            <w:r>
              <w:rPr>
                <w:b/>
              </w:rPr>
              <w:t xml:space="preserve">Class</w:t>
            </w:r>
          </w:p>
        </w:tc>
        <w:tc>
          <w:tcPr>
            <w:tcW w:w="2400" w:type="dxa"/>
          </w:tcPr>
          <w:p>
            <w:pPr>
              <w:pStyle w:val="TableText"/>
            </w:pPr>
            <w:r>
              <w:rPr>
                <w:b/>
              </w:rPr>
              <w:t xml:space="preserve">Doing what</w:t>
            </w:r>
          </w:p>
        </w:tc>
        <w:tc>
          <w:tcPr>
            <w:tcW w:w="2400" w:type="dxa"/>
          </w:tcPr>
          <w:p>
            <w:pPr>
              <w:pStyle w:val="TableText"/>
            </w:pPr>
            <w:r>
              <w:rPr>
                <w:b/>
              </w:rPr>
              <w:t xml:space="preserve">Names on the label</w:t>
            </w:r>
          </w:p>
        </w:tc>
      </w:tr>
      <w:tr>
        <w:tc>
          <w:tcPr>
            <w:tcW w:w="2400" w:type="dxa"/>
          </w:tcPr>
          <w:p>
            <w:pPr>
              <w:pStyle w:val="TableText"/>
            </w:pPr>
            <w:r>
              <w:rPr>
                <w:b/>
              </w:rPr>
              <w:t xml:space="preserve">Pigment</w:t>
            </w:r>
          </w:p>
        </w:tc>
        <w:tc>
          <w:tcPr>
            <w:tcW w:w="2400" w:type="dxa"/>
          </w:tcPr>
          <w:p>
            <w:pPr>
              <w:pStyle w:val="TableText"/>
            </w:pPr>
            <w:r>
              <w:t xml:space="preserve">The colour and the coverage</w:t>
            </w:r>
          </w:p>
        </w:tc>
        <w:tc>
          <w:tcPr>
            <w:tcW w:w="2400" w:type="dxa"/>
          </w:tcPr>
          <w:p>
            <w:pPr>
              <w:pStyle w:val="TableText"/>
            </w:pPr>
            <w:r>
              <w:t xml:space="preserve">Titanium dioxide, iron oxides (CI 77491/77492/77499), zinc oxide</w:t>
            </w:r>
          </w:p>
        </w:tc>
      </w:tr>
      <w:tr>
        <w:tc>
          <w:tcPr>
            <w:tcW w:w="2400" w:type="dxa"/>
          </w:tcPr>
          <w:p>
            <w:pPr>
              <w:pStyle w:val="TableText"/>
            </w:pPr>
            <w:r>
              <w:rPr>
                <w:b/>
              </w:rPr>
              <w:t xml:space="preserve">Vehicle</w:t>
            </w:r>
          </w:p>
        </w:tc>
        <w:tc>
          <w:tcPr>
            <w:tcW w:w="2400" w:type="dxa"/>
          </w:tcPr>
          <w:p>
            <w:pPr>
              <w:pStyle w:val="TableText"/>
            </w:pPr>
            <w:r>
              <w:t xml:space="preserve">Carries and spreads the pigment</w:t>
            </w:r>
          </w:p>
        </w:tc>
        <w:tc>
          <w:tcPr>
            <w:tcW w:w="2400" w:type="dxa"/>
          </w:tcPr>
          <w:p>
            <w:pPr>
              <w:pStyle w:val="TableText"/>
            </w:pPr>
            <w:r>
              <w:t xml:space="preserve">Water, cyclopentasiloxane, dimethicone, esters</w:t>
            </w:r>
          </w:p>
        </w:tc>
      </w:tr>
      <w:tr>
        <w:tc>
          <w:tcPr>
            <w:tcW w:w="2400" w:type="dxa"/>
          </w:tcPr>
          <w:p>
            <w:pPr>
              <w:pStyle w:val="TableText"/>
            </w:pPr>
            <w:r>
              <w:rPr>
                <w:b/>
              </w:rPr>
              <w:t xml:space="preserve">Film former</w:t>
            </w:r>
          </w:p>
        </w:tc>
        <w:tc>
          <w:tcPr>
            <w:tcW w:w="2400" w:type="dxa"/>
          </w:tcPr>
          <w:p>
            <w:pPr>
              <w:pStyle w:val="TableText"/>
            </w:pPr>
            <w:r>
              <w:t xml:space="preserve">Makes it stay</w:t>
            </w:r>
          </w:p>
        </w:tc>
        <w:tc>
          <w:tcPr>
            <w:tcW w:w="2400" w:type="dxa"/>
          </w:tcPr>
          <w:p>
            <w:pPr>
              <w:pStyle w:val="TableText"/>
            </w:pPr>
            <w:r>
              <w:t xml:space="preserve">Trimethylsiloxysilicate, acrylates copolymers</w:t>
            </w:r>
          </w:p>
        </w:tc>
      </w:tr>
      <w:tr>
        <w:tc>
          <w:tcPr>
            <w:tcW w:w="2400" w:type="dxa"/>
          </w:tcPr>
          <w:p>
            <w:pPr>
              <w:pStyle w:val="TableText"/>
            </w:pPr>
            <w:r>
              <w:rPr>
                <w:b/>
              </w:rPr>
              <w:t xml:space="preserve">Dispersing agent</w:t>
            </w:r>
          </w:p>
        </w:tc>
        <w:tc>
          <w:tcPr>
            <w:tcW w:w="2400" w:type="dxa"/>
          </w:tcPr>
          <w:p>
            <w:pPr>
              <w:pStyle w:val="TableText"/>
            </w:pPr>
            <w:r>
              <w:t xml:space="preserve">Stops pigment clumping</w:t>
            </w:r>
          </w:p>
        </w:tc>
        <w:tc>
          <w:tcPr>
            <w:tcW w:w="2400" w:type="dxa"/>
          </w:tcPr>
          <w:p>
            <w:pPr>
              <w:pStyle w:val="TableText"/>
            </w:pPr>
            <w:r>
              <w:t xml:space="preserve">Surface-treated pigments, polyhydroxystearic acid</w:t>
            </w:r>
          </w:p>
        </w:tc>
      </w:tr>
      <w:tr>
        <w:tc>
          <w:tcPr>
            <w:tcW w:w="2400" w:type="dxa"/>
          </w:tcPr>
          <w:p>
            <w:pPr>
              <w:pStyle w:val="TableText"/>
            </w:pPr>
            <w:r>
              <w:rPr>
                <w:b/>
              </w:rPr>
              <w:t xml:space="preserve">Fillers</w:t>
            </w:r>
          </w:p>
        </w:tc>
        <w:tc>
          <w:tcPr>
            <w:tcW w:w="2400" w:type="dxa"/>
          </w:tcPr>
          <w:p>
            <w:pPr>
              <w:pStyle w:val="TableText"/>
            </w:pPr>
            <w:r>
              <w:t xml:space="preserve">Slip, blur, oil control</w:t>
            </w:r>
          </w:p>
        </w:tc>
        <w:tc>
          <w:tcPr>
            <w:tcW w:w="2400" w:type="dxa"/>
          </w:tcPr>
          <w:p>
            <w:pPr>
              <w:pStyle w:val="TableText"/>
            </w:pPr>
            <w:r>
              <w:t xml:space="preserve">Silica, mica, nylon-12, starch</w:t>
            </w:r>
          </w:p>
        </w:tc>
      </w:tr>
      <w:tr>
        <w:tc>
          <w:tcPr>
            <w:tcW w:w="2400" w:type="dxa"/>
          </w:tcPr>
          <w:p>
            <w:pPr>
              <w:pStyle w:val="TableText"/>
            </w:pPr>
            <w:r>
              <w:rPr>
                <w:b/>
              </w:rPr>
              <w:t xml:space="preserve">Emulsifier</w:t>
            </w:r>
          </w:p>
        </w:tc>
        <w:tc>
          <w:tcPr>
            <w:tcW w:w="2400" w:type="dxa"/>
          </w:tcPr>
          <w:p>
            <w:pPr>
              <w:pStyle w:val="TableText"/>
            </w:pPr>
            <w:r>
              <w:t xml:space="preserve">Holds water and oil together</w:t>
            </w:r>
          </w:p>
        </w:tc>
        <w:tc>
          <w:tcPr>
            <w:tcW w:w="2400" w:type="dxa"/>
          </w:tcPr>
          <w:p>
            <w:pPr>
              <w:pStyle w:val="TableText"/>
            </w:pPr>
            <w:r>
              <w:t xml:space="preserve">PEG-10 dimethicone, cetearyl alcohol</w:t>
            </w:r>
          </w:p>
        </w:tc>
      </w:tr>
      <w:tr>
        <w:tc>
          <w:tcPr>
            <w:tcW w:w="2400" w:type="dxa"/>
          </w:tcPr>
          <w:p>
            <w:pPr>
              <w:pStyle w:val="TableText"/>
            </w:pPr>
            <w:r>
              <w:rPr>
                <w:b/>
              </w:rPr>
              <w:t xml:space="preserve">Preservative</w:t>
            </w:r>
          </w:p>
        </w:tc>
        <w:tc>
          <w:tcPr>
            <w:tcW w:w="2400" w:type="dxa"/>
          </w:tcPr>
          <w:p>
            <w:pPr>
              <w:pStyle w:val="TableText"/>
            </w:pPr>
            <w:r>
              <w:t xml:space="preserve">For anything containing water</w:t>
            </w:r>
          </w:p>
        </w:tc>
        <w:tc>
          <w:tcPr>
            <w:tcW w:w="2400" w:type="dxa"/>
          </w:tcPr>
          <w:p>
            <w:pPr>
              <w:pStyle w:val="TableText"/>
            </w:pPr>
            <w:r>
              <w:t xml:space="preserve">Phenoxyethanol, caprylyl glycol</w:t>
            </w:r>
          </w:p>
        </w:tc>
      </w:tr>
    </w:tbl>
    <w:p/>
    <w:p>
      <w:r>
        <w:rPr>
          <w:b/>
        </w:rPr>
        <w:t xml:space="preserve">Titanium dioxide and iron oxides do nearly all the work.</w:t>
      </w:r>
      <w:r>
        <w:t xml:space="preserve"> Four pigments — white
titanium dioxide plus red, yellow and black iron oxides — generate essentially every
foundation shade on the market. The industry's shade-range failures were never a
pigment problem.</w:t>
      </w:r>
    </w:p>
    <w:p>
      <w:pPr>
        <w:pStyle w:val="Heading2"/>
      </w:pPr>
      <w:r>
        <w:t xml:space="preserve">Undertone, depth, and why matching is hard</w:t>
      </w:r>
    </w:p>
    <w:p>
      <w:r>
        <w:t xml:space="preserve">Two independent variables:</w:t>
      </w:r>
    </w:p>
    <w:p>
      <w:pPr>
        <w:pStyle w:val="ListParagraph"/>
        <w:numPr>
          <w:ilvl w:val="0"/>
          <w:numId w:val="1"/>
        </w:numPr>
      </w:pPr>
      <w:r>
        <w:rPr>
          <w:b/>
        </w:rPr>
        <w:t xml:space="preserve">Depth</w:t>
      </w:r>
      <w:r>
        <w:t xml:space="preserve"> — how light or dark. Easy to judge, easy to get wrong under shop lighting.</w:t>
      </w:r>
    </w:p>
    <w:p>
      <w:pPr>
        <w:pStyle w:val="ListParagraph"/>
        <w:numPr>
          <w:ilvl w:val="0"/>
          <w:numId w:val="1"/>
        </w:numPr>
      </w:pPr>
      <w:r>
        <w:rPr>
          <w:b/>
        </w:rPr>
        <w:t xml:space="preserve">Undertone</w:t>
      </w:r>
      <w:r>
        <w:t xml:space="preserve"> — the underlying cast: cool (pink, red, blue), warm (yellow, golden,
peach), neutral, or </w:t>
      </w:r>
      <w:r>
        <w:rPr>
          <w:b/>
        </w:rPr>
        <w:t xml:space="preserve">olive</w:t>
      </w:r>
      <w:r>
        <w:t xml:space="preserve"> (a green-grey cast that is genuinely distinct and was
ignored by mainstream shade systems for decades).</w:t>
      </w:r>
    </w:p>
    <w:p>
      <w:r>
        <w:t xml:space="preserve">Match along the </w:t>
      </w:r>
      <w:r>
        <w:rPr>
          <w:b/>
        </w:rPr>
        <w:t xml:space="preserve">jawline in daylight</w:t>
      </w:r>
      <w:r>
        <w:t xml:space="preserve">, not on the wrist or the back of the hand, and
check it after ten minutes because many foundations </w:t>
      </w:r>
      <w:r>
        <w:rPr>
          <w:b/>
        </w:rPr>
        <w:t xml:space="preserve">oxidise</w:t>
      </w:r>
      <w:r>
        <w:t xml:space="preserve"> — the shade shifts
darker or more orange as the vehicle evaporates and the film sets against sebum. A
shade that matched at the counter and looked wrong an hour later oxidised.</w:t>
      </w:r>
    </w:p>
    <w:p>
      <w:pPr>
        <w:pStyle w:val="Heading2"/>
      </w:pPr>
      <w:r>
        <w:t xml:space="preserve">Coverage and finish</w:t>
      </w:r>
    </w:p>
    <w:p>
      <w:r>
        <w:t xml:space="preserve">Coverage — sheer, medium, full — is a function of pigment load and opacity. Finish —
matte, natural, satin, dewy — is a function of fillers and the light-scattering
behaviour of the film. They vary independently: a full-coverage dewy foundation and a
sheer matte one both exist.</w:t>
      </w:r>
    </w:p>
    <w:p>
      <w:r>
        <w:t xml:space="preserve">Formats: liquid (the default), cream and stick (higher coverage, portable), cushion
(sponge-loaded compact, sheer, easily reapplied), powder (see
</w:t>
      </w:r>
      <w:hyperlink r:id="rId115">
        <w:r>
          <w:rPr>
            <w:color w:val="1F4E79"/>
            <w:u w:val="single"/>
          </w:rPr>
          <w:t xml:space="preserve">Face Powder</w:t>
        </w:r>
      </w:hyperlink>
      <w:r>
        <w:t xml:space="preserve">), and serum-foundation hybrids.</w:t>
      </w:r>
    </w:p>
    <w:p>
      <w:pPr>
        <w:pStyle w:val="Heading2"/>
      </w:pPr>
      <w:r>
        <w:t xml:space="preserve">The shade-range question</w:t>
      </w:r>
    </w:p>
    <w:p>
      <w:r>
        <w:t xml:space="preserve">For most of the category's history the standard range ran roughly a dozen shades
clustered in the light-to-medium band, with token deep shades that were frequently too
red or too grey. The commercial demonstration that broad ranges sell — a 40-shade
launch in 2017 and the industry-wide expansion that followed — changed the shelf
materially and is the clearest example in modern cosmetics of a market failure being
corrected by competition rather than by regulation.</w:t>
      </w:r>
    </w:p>
    <w:p>
      <w:r>
        <w:t xml:space="preserve">The remaining gaps are at the extremes of depth, in olive undertones, and in
non-flagship brands.</w:t>
      </w:r>
    </w:p>
    <w:p>
      <w:pPr>
        <w:pStyle w:val="Heading2"/>
      </w:pPr>
      <w:r>
        <w:t xml:space="preserve">Where it sits in the rules</w:t>
      </w:r>
    </w:p>
    <w:p>
      <w:r>
        <w:rPr>
          <w:b/>
        </w:rPr>
        <w:t xml:space="preserve">Cosmetic</w:t>
      </w:r>
      <w:r>
        <w:t xml:space="preserve"> in the US — FDA primary category (08), makeup preparations (not eye).
The binding constraint is </w:t>
      </w:r>
      <w:r>
        <w:rPr>
          <w:b/>
        </w:rPr>
        <w:t xml:space="preserve">colour additives</w:t>
      </w:r>
      <w:r>
        <w:t xml:space="preserve">: only additives FDA has approved for the
intended use may be used, and certified colours must come from </w:t>
      </w:r>
      <w:r>
        <w:rPr>
          <w:b/>
        </w:rPr>
        <w:t xml:space="preserve">FDA-certified
batches</w:t>
      </w:r>
      <w:r>
        <w:t xml:space="preserve">. This is the one part of US cosmetic law with genuine premarket control.</w:t>
      </w:r>
    </w:p>
    <w:p>
      <w:r>
        <w:t xml:space="preserve">Foundation with an </w:t>
      </w:r>
      <w:r>
        <w:rPr>
          <w:b/>
        </w:rPr>
        <w:t xml:space="preserve">SPF</w:t>
      </w:r>
      <w:r>
        <w:t xml:space="preserve"> is also an </w:t>
      </w:r>
      <w:r>
        <w:rPr>
          <w:b/>
        </w:rPr>
        <w:t xml:space="preserve">OTC drug</w:t>
      </w:r>
      <w:r>
        <w:t xml:space="preserve">: sunscreen monograph, Drug Facts
panel, expiration date, and the Broad Spectrum test before that term may be used. The
dose caveat is severe here — nobody applies foundation at 2 mg/cm², so a labelled SPF
20 foundation delivers a fraction of that in practice.</w:t>
      </w:r>
    </w:p>
    <w:p>
      <w:r>
        <w:rPr>
          <w:b/>
        </w:rPr>
        <w:t xml:space="preserve">Carmine (CI 75470)</w:t>
      </w:r>
      <w:r>
        <w:t xml:space="preserve"> must be declared by name in the US, because of documented
hypersensitivity; it is also the ingredient that makes a product non-vegan.</w:t>
      </w:r>
    </w:p>
    <w:p>
      <w:pPr>
        <w:pStyle w:val="Heading2"/>
      </w:pPr>
      <w:r>
        <w:t xml:space="preserve">Shelf life</w:t>
      </w:r>
    </w:p>
    <w:p>
      <w:r>
        <w:t xml:space="preserve">Twelve months after opening for a pump; six to twelve for a cushion or a pot, where the
applicator returns to the product every use. </w:t>
      </w:r>
      <w:r>
        <w:rPr>
          <w:b/>
        </w:rPr>
        <w:t xml:space="preserve">Wash sponges and brushes</w:t>
      </w:r>
      <w:r>
        <w:t xml:space="preserve"> — they are
the actual contamination route. Separation is normal in some formulas and shaking fixes
it; a smell change, a colour change, or a texture that has gone lumpy is the end.</w:t>
      </w:r>
    </w:p>
    <w:p>
      <w:pPr>
        <w:pStyle w:val="Heading2"/>
      </w:pPr>
      <w:r>
        <w:t xml:space="preserve">Related</w:t>
      </w:r>
    </w:p>
    <w:p>
      <w:pPr>
        <w:pStyle w:val="ListParagraph"/>
        <w:numPr>
          <w:ilvl w:val="0"/>
          <w:numId w:val="1"/>
        </w:numPr>
      </w:pPr>
      <w:hyperlink r:id="rId116">
        <w:r>
          <w:rPr>
            <w:color w:val="1F4E79"/>
            <w:u w:val="single"/>
          </w:rPr>
          <w:t xml:space="preserve">Makeup</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Face</w:t>
      </w:r>
      <w:r>
        <w:t xml:space="preserve"> — </w:t>
      </w:r>
      <w:hyperlink r:id="rId118">
        <w:r>
          <w:rPr>
            <w:color w:val="1F4E79"/>
            <w:u w:val="single"/>
          </w:rPr>
          <w:t xml:space="preserve">Face Primer</w:t>
        </w:r>
      </w:hyperlink>
      <w:r>
        <w:t xml:space="preserve"> · </w:t>
      </w:r>
      <w:hyperlink r:id="rId119">
        <w:r>
          <w:rPr>
            <w:color w:val="1F4E79"/>
            <w:u w:val="single"/>
          </w:rPr>
          <w:t xml:space="preserve">BB Cream</w:t>
        </w:r>
      </w:hyperlink>
      <w:r>
        <w:t xml:space="preserve"> · </w:t>
      </w:r>
      <w:hyperlink r:id="rId120">
        <w:r>
          <w:rPr>
            <w:color w:val="1F4E79"/>
            <w:u w:val="single"/>
          </w:rPr>
          <w:t xml:space="preserve">CC Cream</w:t>
        </w:r>
      </w:hyperlink>
      <w:r>
        <w:t xml:space="preserve"> · </w:t>
      </w:r>
      <w:hyperlink r:id="rId121">
        <w:r>
          <w:rPr>
            <w:color w:val="1F4E79"/>
            <w:u w:val="single"/>
          </w:rPr>
          <w:t xml:space="preserve">Tinted Moisturiser</w:t>
        </w:r>
      </w:hyperlink>
      <w:r>
        <w:t xml:space="preserve"> · </w:t>
      </w:r>
      <w:hyperlink r:id="rId122">
        <w:r>
          <w:rPr>
            <w:color w:val="1F4E79"/>
            <w:u w:val="single"/>
          </w:rPr>
          <w:t xml:space="preserve">Concealer</w:t>
        </w:r>
      </w:hyperlink>
      <w:r>
        <w:t xml:space="preserve"> · </w:t>
      </w:r>
      <w:hyperlink r:id="rId123">
        <w:r>
          <w:rPr>
            <w:color w:val="1F4E79"/>
            <w:u w:val="single"/>
          </w:rPr>
          <w:t xml:space="preserve">Colour Corrector</w:t>
        </w:r>
      </w:hyperlink>
      <w:r>
        <w:t xml:space="preserve"> · </w:t>
      </w:r>
      <w:hyperlink r:id="rId124">
        <w:r>
          <w:rPr>
            <w:color w:val="1F4E79"/>
            <w:u w:val="single"/>
          </w:rPr>
          <w:t xml:space="preserve">Face Powder</w:t>
        </w:r>
      </w:hyperlink>
      <w:r>
        <w:t xml:space="preserve"> · </w:t>
      </w:r>
      <w:hyperlink r:id="rId125">
        <w:r>
          <w:rPr>
            <w:color w:val="1F4E79"/>
            <w:u w:val="single"/>
          </w:rPr>
          <w:t xml:space="preserve">Setting Powder</w:t>
        </w:r>
      </w:hyperlink>
      <w:r>
        <w:t xml:space="preserve"> · </w:t>
      </w:r>
      <w:hyperlink r:id="rId126">
        <w:r>
          <w:rPr>
            <w:color w:val="1F4E79"/>
            <w:u w:val="single"/>
          </w:rPr>
          <w:t xml:space="preserve">Setting Spray</w:t>
        </w:r>
      </w:hyperlink>
      <w:r>
        <w:t xml:space="preserve">.</w:t>
      </w:r>
    </w:p>
    <w:p>
      <w:pPr>
        <w:pStyle w:val="ListParagraph"/>
        <w:numPr>
          <w:ilvl w:val="0"/>
          <w:numId w:val="1"/>
        </w:numPr>
      </w:pPr>
      <w:r>
        <w:t xml:space="preserve">Regulatory statements here follow the FDA and EU sources listed on </w:t>
      </w:r>
      <w:hyperlink r:id="rId127">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foundation"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lash-primer" TargetMode="External"/><Relationship Id="rId103" Type="http://schemas.openxmlformats.org/officeDocument/2006/relationships/hyperlink" Target="https://www.agoramores.com/cosmetics/makeup" TargetMode="External"/><Relationship Id="rId104" Type="http://schemas.openxmlformats.org/officeDocument/2006/relationships/hyperlink" Target="https://www.agoramores.com/cosmetics/makeup/eye-makeup-remover" TargetMode="External"/><Relationship Id="rId105" Type="http://schemas.openxmlformats.org/officeDocument/2006/relationships/hyperlink" Target="https://www.agoramores.com/cosmetics/makeup/eyelash-adhesive" TargetMode="External"/><Relationship Id="rId106" Type="http://schemas.openxmlformats.org/officeDocument/2006/relationships/hyperlink" Target="https://www.agoramores.com/cosmetics/makeup/eyelash-serum" TargetMode="External"/><Relationship Id="rId107" Type="http://schemas.openxmlformats.org/officeDocument/2006/relationships/hyperlink" Target="https://www.agoramores.com/cosmetics/makeup/eyeshadow"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 TargetMode="External"/><Relationship Id="rId110" Type="http://schemas.openxmlformats.org/officeDocument/2006/relationships/hyperlink" Target="https://www.agoramores.com/cosmetics/oral-care" TargetMode="External"/><Relationship Id="rId111" Type="http://schemas.openxmlformats.org/officeDocument/2006/relationships/hyperlink" Target="https://www.agoramores.com/cosmetics/hair-colour/permanent-hair-dye" TargetMode="External"/><Relationship Id="rId112" Type="http://schemas.openxmlformats.org/officeDocument/2006/relationships/hyperlink" Target="https://www.agoramores.com/cosmetics/makeup/concealer" TargetMode="External"/><Relationship Id="rId113" Type="http://schemas.openxmlformats.org/officeDocument/2006/relationships/hyperlink" Target="https://www.agoramores.com/cosmetics/makeup/eyelash-cleanser" TargetMode="External"/><Relationship Id="rId114" Type="http://schemas.openxmlformats.org/officeDocument/2006/relationships/hyperlink" Target="https://www.agoramores.com/cosmetics/makeup/face-primer" TargetMode="External"/><Relationship Id="rId115" Type="http://schemas.openxmlformats.org/officeDocument/2006/relationships/hyperlink" Target="https://www.agoramores.com/cosmetics/makeup/face-powder" TargetMode="External"/><Relationship Id="rId116" Type="http://schemas.openxmlformats.org/officeDocument/2006/relationships/hyperlink" Target="https://www.agoramores.com/cosmetics/makeup/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makeup/face-primer" TargetMode="External"/><Relationship Id="rId119" Type="http://schemas.openxmlformats.org/officeDocument/2006/relationships/hyperlink" Target="https://www.agoramores.com/cosmetics/makeup/bb-cream" TargetMode="External"/><Relationship Id="rId120" Type="http://schemas.openxmlformats.org/officeDocument/2006/relationships/hyperlink" Target="https://www.agoramores.com/cosmetics/makeup/cc-cream" TargetMode="External"/><Relationship Id="rId121" Type="http://schemas.openxmlformats.org/officeDocument/2006/relationships/hyperlink" Target="https://www.agoramores.com/cosmetics/makeup/tinted-moisturiser" TargetMode="External"/><Relationship Id="rId122" Type="http://schemas.openxmlformats.org/officeDocument/2006/relationships/hyperlink" Target="https://www.agoramores.com/cosmetics/makeup/concealer" TargetMode="External"/><Relationship Id="rId123" Type="http://schemas.openxmlformats.org/officeDocument/2006/relationships/hyperlink" Target="https://www.agoramores.com/cosmetics/makeup/colour-corrector" TargetMode="External"/><Relationship Id="rId124" Type="http://schemas.openxmlformats.org/officeDocument/2006/relationships/hyperlink" Target="https://www.agoramores.com/cosmetics/makeup/face-powder" TargetMode="External"/><Relationship Id="rId125" Type="http://schemas.openxmlformats.org/officeDocument/2006/relationships/hyperlink" Target="https://www.agoramores.com/cosmetics/makeup/setting-powder" TargetMode="External"/><Relationship Id="rId126" Type="http://schemas.openxmlformats.org/officeDocument/2006/relationships/hyperlink" Target="https://www.agoramores.com/cosmetics/makeup/setting-spray" TargetMode="External"/><Relationship Id="rId127"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foundation</dc:title>
  <dc:creator>Agoramores</dc:creator>
  <cp:keywords>cosmetics, makeup</cp:keywords>
  <dcterms:created xsi:type="dcterms:W3CDTF">2026-08-21T02:06:34Z</dcterms:created>
</cp:coreProperties>
</file>