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face paint</w:t>
      </w:r>
    </w:p>
    <w:p>
      <w:pPr>
        <w:pStyle w:val="Subtitle"/>
      </w:pPr>
      <w:hyperlink r:id="rId100">
        <w:r>
          <w:rPr>
            <w:color w:val="1F4E79"/>
            <w:u w:val="single"/>
          </w:rPr>
          <w:t xml:space="preserve">https://www.agoramores.com/cosmetics/makeup/face-paint</w:t>
        </w:r>
      </w:hyperlink>
    </w:p>
    <w:p>
      <w:pPr>
        <w:pStyle w:val="Subtitle"/>
      </w:pPr>
      <w:r>
        <w:t xml:space="preserve">Tags: cosmetics · makeup</w:t>
      </w:r>
    </w:p>
    <w:p>
      <w:pPr>
        <w:pBdr>
          <w:bottom w:val="single" w:sz="6" w:space="1" w:color="808080"/>
        </w:pBdr>
      </w:pPr>
    </w:p>
    <w:p>
      <w:pPr>
        <w:pStyle w:val="Heading1"/>
      </w:pPr>
      <w:r>
        <w:t xml:space="preserve">Related</w:t>
      </w:r>
    </w:p>
    <w:p>
      <w:pPr>
        <w:pStyle w:val="Heading2"/>
      </w:pPr>
      <w:hyperlink r:id="rId101">
        <w:r>
          <w:rPr>
            <w:color w:val="1F4E79"/>
            <w:u w:val="single"/>
          </w:rPr>
          <w:t xml:space="preserve">makeup</w:t>
        </w:r>
      </w:hyperlink>
    </w:p>
    <w:p>
      <w:pPr>
        <w:pStyle w:val="ListParagraph"/>
        <w:numPr>
          <w:ilvl w:val="0"/>
          <w:numId w:val="1"/>
        </w:numPr>
      </w:pPr>
      <w:hyperlink r:id="rId102">
        <w:r>
          <w:rPr>
            <w:color w:val="1F4E79"/>
            <w:u w:val="single"/>
          </w:rPr>
          <w:t xml:space="preserve">lash primer</w:t>
        </w:r>
      </w:hyperlink>
    </w:p>
    <w:p>
      <w:pPr>
        <w:pStyle w:val="ListParagraph"/>
        <w:numPr>
          <w:ilvl w:val="0"/>
          <w:numId w:val="1"/>
        </w:numPr>
      </w:pPr>
      <w:hyperlink r:id="rId103">
        <w:r>
          <w:rPr>
            <w:color w:val="1F4E79"/>
            <w:u w:val="single"/>
          </w:rPr>
          <w:t xml:space="preserve">face powder</w:t>
        </w:r>
      </w:hyperlink>
    </w:p>
    <w:p>
      <w:pPr>
        <w:pStyle w:val="ListParagraph"/>
        <w:numPr>
          <w:ilvl w:val="0"/>
          <w:numId w:val="1"/>
        </w:numPr>
      </w:pPr>
      <w:hyperlink r:id="rId104">
        <w:r>
          <w:rPr>
            <w:color w:val="1F4E79"/>
            <w:u w:val="single"/>
          </w:rPr>
          <w:t xml:space="preserve">body paint</w:t>
        </w:r>
      </w:hyperlink>
    </w:p>
    <w:p>
      <w:pPr>
        <w:pStyle w:val="ListParagraph"/>
        <w:numPr>
          <w:ilvl w:val="0"/>
          <w:numId w:val="1"/>
        </w:numPr>
      </w:pPr>
      <w:hyperlink r:id="rId105">
        <w:r>
          <w:rPr>
            <w:color w:val="1F4E79"/>
            <w:u w:val="single"/>
          </w:rPr>
          <w:t xml:space="preserve">lip gloss</w:t>
        </w:r>
      </w:hyperlink>
    </w:p>
    <w:p>
      <w:pPr>
        <w:pStyle w:val="ListParagraph"/>
        <w:numPr>
          <w:ilvl w:val="0"/>
          <w:numId w:val="1"/>
        </w:numPr>
      </w:pPr>
      <w:hyperlink r:id="rId106">
        <w:r>
          <w:rPr>
            <w:color w:val="1F4E79"/>
            <w:u w:val="single"/>
          </w:rPr>
          <w:t xml:space="preserve">eyelash adhesive</w:t>
        </w:r>
      </w:hyperlink>
    </w:p>
    <w:p>
      <w:pPr>
        <w:pStyle w:val="ListParagraph"/>
        <w:numPr>
          <w:ilvl w:val="0"/>
          <w:numId w:val="1"/>
        </w:numPr>
      </w:pPr>
      <w:hyperlink r:id="rId107">
        <w:r>
          <w:rPr>
            <w:color w:val="1F4E79"/>
            <w:u w:val="single"/>
          </w:rPr>
          <w:t xml:space="preserve">lipstick</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facial oil</w:t>
        </w:r>
      </w:hyperlink>
    </w:p>
    <w:p>
      <w:pPr>
        <w:pStyle w:val="ListParagraph"/>
        <w:numPr>
          <w:ilvl w:val="0"/>
          <w:numId w:val="1"/>
        </w:numPr>
      </w:pPr>
      <w:hyperlink r:id="rId110">
        <w:r>
          <w:rPr>
            <w:color w:val="1F4E79"/>
            <w:u w:val="single"/>
          </w:rPr>
          <w:t xml:space="preserve">bubble bath</w:t>
        </w:r>
      </w:hyperlink>
    </w:p>
    <w:p>
      <w:pPr>
        <w:pStyle w:val="ListParagraph"/>
        <w:numPr>
          <w:ilvl w:val="0"/>
          <w:numId w:val="1"/>
        </w:numPr>
      </w:pPr>
      <w:hyperlink r:id="rId111">
        <w:r>
          <w:rPr>
            <w:color w:val="1F4E79"/>
            <w:u w:val="single"/>
          </w:rPr>
          <w:t xml:space="preserve">mineral sunscreen</w:t>
        </w:r>
      </w:hyperlink>
    </w:p>
    <w:p>
      <w:pPr>
        <w:pStyle w:val="ListParagraph"/>
        <w:numPr>
          <w:ilvl w:val="0"/>
          <w:numId w:val="1"/>
        </w:numPr>
      </w:pPr>
      <w:hyperlink r:id="rId112">
        <w:r>
          <w:rPr>
            <w:color w:val="1F4E79"/>
            <w:u w:val="single"/>
          </w:rPr>
          <w:t xml:space="preserve">sun and tanning</w:t>
        </w:r>
      </w:hyperlink>
    </w:p>
    <w:p>
      <w:pPr>
        <w:pStyle w:val="ListParagraph"/>
        <w:numPr>
          <w:ilvl w:val="0"/>
          <w:numId w:val="1"/>
        </w:numPr>
      </w:pPr>
      <w:hyperlink r:id="rId113">
        <w:r>
          <w:rPr>
            <w:color w:val="1F4E79"/>
            <w:u w:val="single"/>
          </w:rPr>
          <w:t xml:space="preserve">permanent hair dye</w:t>
        </w:r>
      </w:hyperlink>
    </w:p>
    <w:p>
      <w:pPr>
        <w:pStyle w:val="ListParagraph"/>
        <w:numPr>
          <w:ilvl w:val="0"/>
          <w:numId w:val="1"/>
        </w:numPr>
      </w:pPr>
      <w:hyperlink r:id="rId114">
        <w:r>
          <w:rPr>
            <w:color w:val="1F4E79"/>
            <w:u w:val="single"/>
          </w:rPr>
          <w:t xml:space="preserve">mousse</w:t>
        </w:r>
      </w:hyperlink>
    </w:p>
    <w:p>
      <w:pPr>
        <w:pStyle w:val="Heading1"/>
      </w:pPr>
      <w:r>
        <w:t xml:space="preserve">Face Paint</w:t>
      </w:r>
    </w:p>
    <w:p>
      <w:r>
        <w:t xml:space="preserve">Highly pigmented, non-skin-tone makeup for theatrical, festival, sporting and costume
use. Face paint is a cosmetic in law and is treated as a toy or a novelty by a great
many of the people who buy it — and that gap is where the injuries happen.</w:t>
      </w:r>
    </w:p>
    <w:p>
      <w:pPr>
        <w:pStyle w:val="Heading2"/>
      </w:pPr>
      <w:r>
        <w:t xml:space="preserve">The formats</w:t>
      </w:r>
    </w:p>
    <w:tbl>
      <w:tblPr>
        <w:tblStyle w:val="TableGrid"/>
        <w:tblW w:w="0" w:type="auto"/>
      </w:tblPr>
      <w:tblGrid>
        <w:gridCol w:w="2400"/>
        <w:gridCol w:w="2400"/>
        <w:gridCol w:w="2400"/>
      </w:tblGrid>
      <w:tr>
        <w:trPr>
          <w:tblHeader/>
        </w:trPr>
        <w:tc>
          <w:tcPr>
            <w:tcW w:w="2400" w:type="dxa"/>
          </w:tcPr>
          <w:p>
            <w:pPr>
              <w:pStyle w:val="TableText"/>
            </w:pPr>
            <w:r>
              <w:rPr>
                <w:b/>
              </w:rPr>
              <w:t xml:space="preserve">Type</w:t>
            </w:r>
          </w:p>
        </w:tc>
        <w:tc>
          <w:tcPr>
            <w:tcW w:w="2400" w:type="dxa"/>
          </w:tcPr>
          <w:p>
            <w:pPr>
              <w:pStyle w:val="TableText"/>
            </w:pPr>
            <w:r>
              <w:rPr>
                <w:b/>
              </w:rPr>
              <w:t xml:space="preserve">Base</w:t>
            </w:r>
          </w:p>
        </w:tc>
        <w:tc>
          <w:tcPr>
            <w:tcW w:w="2400" w:type="dxa"/>
          </w:tcPr>
          <w:p>
            <w:pPr>
              <w:pStyle w:val="TableText"/>
            </w:pPr>
            <w:r>
              <w:rPr>
                <w:b/>
              </w:rPr>
              <w:t xml:space="preserve">Behaviour</w:t>
            </w:r>
          </w:p>
        </w:tc>
      </w:tr>
      <w:tr>
        <w:tc>
          <w:tcPr>
            <w:tcW w:w="2400" w:type="dxa"/>
          </w:tcPr>
          <w:p>
            <w:pPr>
              <w:pStyle w:val="TableText"/>
            </w:pPr>
            <w:r>
              <w:rPr>
                <w:b/>
              </w:rPr>
              <w:t xml:space="preserve">Water-activated cake</w:t>
            </w:r>
          </w:p>
        </w:tc>
        <w:tc>
          <w:tcPr>
            <w:tcW w:w="2400" w:type="dxa"/>
          </w:tcPr>
          <w:p>
            <w:pPr>
              <w:pStyle w:val="TableText"/>
            </w:pPr>
            <w:r>
              <w:t xml:space="preserve">Wax, soap-based or acrylate binder, in a pan</w:t>
            </w:r>
          </w:p>
        </w:tc>
        <w:tc>
          <w:tcPr>
            <w:tcW w:w="2400" w:type="dxa"/>
          </w:tcPr>
          <w:p>
            <w:pPr>
              <w:pStyle w:val="TableText"/>
            </w:pPr>
            <w:r>
              <w:t xml:space="preserve">Activated with a damp brush or sponge; the professional standard</w:t>
            </w:r>
          </w:p>
        </w:tc>
      </w:tr>
      <w:tr>
        <w:tc>
          <w:tcPr>
            <w:tcW w:w="2400" w:type="dxa"/>
          </w:tcPr>
          <w:p>
            <w:pPr>
              <w:pStyle w:val="TableText"/>
            </w:pPr>
            <w:r>
              <w:rPr>
                <w:b/>
              </w:rPr>
              <w:t xml:space="preserve">Cream / grease paint</w:t>
            </w:r>
          </w:p>
        </w:tc>
        <w:tc>
          <w:tcPr>
            <w:tcW w:w="2400" w:type="dxa"/>
          </w:tcPr>
          <w:p>
            <w:pPr>
              <w:pStyle w:val="TableText"/>
            </w:pPr>
            <w:r>
              <w:t xml:space="preserve">Oils and waxes</w:t>
            </w:r>
          </w:p>
        </w:tc>
        <w:tc>
          <w:tcPr>
            <w:tcW w:w="2400" w:type="dxa"/>
          </w:tcPr>
          <w:p>
            <w:pPr>
              <w:pStyle w:val="TableText"/>
            </w:pPr>
            <w:r>
              <w:t xml:space="preserve">Opaque, blendable, slow to set; needs powdering</w:t>
            </w:r>
          </w:p>
        </w:tc>
      </w:tr>
      <w:tr>
        <w:tc>
          <w:tcPr>
            <w:tcW w:w="2400" w:type="dxa"/>
          </w:tcPr>
          <w:p>
            <w:pPr>
              <w:pStyle w:val="TableText"/>
            </w:pPr>
            <w:r>
              <w:rPr>
                <w:b/>
              </w:rPr>
              <w:t xml:space="preserve">Alcohol-activated</w:t>
            </w:r>
          </w:p>
        </w:tc>
        <w:tc>
          <w:tcPr>
            <w:tcW w:w="2400" w:type="dxa"/>
          </w:tcPr>
          <w:p>
            <w:pPr>
              <w:pStyle w:val="TableText"/>
            </w:pPr>
            <w:r>
              <w:t xml:space="preserve">Pigment in an alcohol vehicle</w:t>
            </w:r>
          </w:p>
        </w:tc>
        <w:tc>
          <w:tcPr>
            <w:tcW w:w="2400" w:type="dxa"/>
          </w:tcPr>
          <w:p>
            <w:pPr>
              <w:pStyle w:val="TableText"/>
            </w:pPr>
            <w:r>
              <w:t xml:space="preserve">Waterproof, used for special effects and film</w:t>
            </w:r>
          </w:p>
        </w:tc>
      </w:tr>
      <w:tr>
        <w:tc>
          <w:tcPr>
            <w:tcW w:w="2400" w:type="dxa"/>
          </w:tcPr>
          <w:p>
            <w:pPr>
              <w:pStyle w:val="TableText"/>
            </w:pPr>
            <w:r>
              <w:rPr>
                <w:b/>
              </w:rPr>
              <w:t xml:space="preserve">Liquid / airbrush</w:t>
            </w:r>
          </w:p>
        </w:tc>
        <w:tc>
          <w:tcPr>
            <w:tcW w:w="2400" w:type="dxa"/>
          </w:tcPr>
          <w:p>
            <w:pPr>
              <w:pStyle w:val="TableText"/>
            </w:pPr>
            <w:r>
              <w:t xml:space="preserve">Water or alcohol + pigment</w:t>
            </w:r>
          </w:p>
        </w:tc>
        <w:tc>
          <w:tcPr>
            <w:tcW w:w="2400" w:type="dxa"/>
          </w:tcPr>
          <w:p>
            <w:pPr>
              <w:pStyle w:val="TableText"/>
            </w:pPr>
            <w:r>
              <w:t xml:space="preserve">Fine, even coverage; requires equipment</w:t>
            </w:r>
          </w:p>
        </w:tc>
      </w:tr>
    </w:tbl>
    <w:p/>
    <w:p>
      <w:r>
        <w:t xml:space="preserve">Professional brands built for skin — Mehron, Snazaroo, Kryolan, Ben Nye, Wolfe,
Paradise and similar — are formulated and tested as cosmetics. </w:t>
      </w:r>
      <w:r>
        <w:rPr>
          <w:b/>
        </w:rPr>
        <w:t xml:space="preserve">Craft paint, poster
paint, acrylic and tempera are not cosmetics and must never go on skin</w:t>
      </w:r>
      <w:r>
        <w:t xml:space="preserve">, regardless of
a "non-toxic" mark, which refers to ingestion in art materials and says nothing about
dermal use.</w:t>
      </w:r>
    </w:p>
    <w:p>
      <w:pPr>
        <w:pStyle w:val="Heading2"/>
      </w:pPr>
      <w:r>
        <w:t xml:space="preserve">The pigment problem</w:t>
      </w:r>
    </w:p>
    <w:p>
      <w:r>
        <w:t xml:space="preserve">This is the category's defining regulatory issue, and it is worth understanding
precisely.</w:t>
      </w:r>
    </w:p>
    <w:p>
      <w:r>
        <w:t xml:space="preserve">In the US, </w:t>
      </w:r>
      <w:r>
        <w:rPr>
          <w:b/>
        </w:rPr>
        <w:t xml:space="preserve">colour additives are the one part of cosmetic law with genuine premarket
control</w:t>
      </w:r>
      <w:r>
        <w:t xml:space="preserve">: an additive may be used only if FDA has approved it for that use, and
certified colours must come from </w:t>
      </w:r>
      <w:r>
        <w:rPr>
          <w:b/>
        </w:rPr>
        <w:t xml:space="preserve">FDA-certified batches</w:t>
      </w:r>
      <w:r>
        <w:t xml:space="preserve">. The permitted palette for
cosmetics is narrower than the palette available to industrial and artists' colours,
and it is narrower again for the </w:t>
      </w:r>
      <w:r>
        <w:rPr>
          <w:b/>
        </w:rPr>
        <w:t xml:space="preserve">eye area</w:t>
      </w:r>
      <w:r>
        <w:t xml:space="preserve">.</w:t>
      </w:r>
    </w:p>
    <w:p>
      <w:r>
        <w:t xml:space="preserve">Practical consequences:</w:t>
      </w:r>
    </w:p>
    <w:p>
      <w:pPr>
        <w:pStyle w:val="ListParagraph"/>
        <w:numPr>
          <w:ilvl w:val="0"/>
          <w:numId w:val="1"/>
        </w:numPr>
      </w:pPr>
      <w:r>
        <w:rPr>
          <w:b/>
        </w:rPr>
        <w:t xml:space="preserve">Vivid, saturated colours are harder to make legally</w:t>
      </w:r>
      <w:r>
        <w:t xml:space="preserve"> than they look, which is why
imported novelty face paints repeatedly fail testing.</w:t>
      </w:r>
    </w:p>
    <w:p>
      <w:pPr>
        <w:pStyle w:val="ListParagraph"/>
        <w:numPr>
          <w:ilvl w:val="0"/>
          <w:numId w:val="1"/>
        </w:numPr>
      </w:pPr>
      <w:r>
        <w:rPr>
          <w:b/>
        </w:rPr>
        <w:t xml:space="preserve">Some pigments legal in a face paint are not legal near the eyes.</w:t>
      </w:r>
      <w:r>
        <w:t xml:space="preserve"> Products should
state whether they are eye-safe.</w:t>
      </w:r>
    </w:p>
    <w:p>
      <w:pPr>
        <w:pStyle w:val="ListParagraph"/>
        <w:numPr>
          <w:ilvl w:val="0"/>
          <w:numId w:val="1"/>
        </w:numPr>
      </w:pPr>
      <w:r>
        <w:rPr>
          <w:b/>
        </w:rPr>
        <w:t xml:space="preserve">Independent testing of imported Halloween face paints has repeatedly found heavy
metals</w:t>
      </w:r>
      <w:r>
        <w:t xml:space="preserve"> — lead, cadmium, chromium, nickel — above what any responsible product
should carry. FDA's December 2022 final guidance recommends a maximum of </w:t>
      </w:r>
      <w:r>
        <w:rPr>
          <w:b/>
        </w:rPr>
        <w:t xml:space="preserve">10 ppm
lead</w:t>
      </w:r>
      <w:r>
        <w:t xml:space="preserve"> in externally applied cosmetics.</w:t>
      </w:r>
    </w:p>
    <w:p>
      <w:pPr>
        <w:pStyle w:val="ListParagraph"/>
        <w:numPr>
          <w:ilvl w:val="0"/>
          <w:numId w:val="1"/>
        </w:numPr>
      </w:pPr>
      <w:r>
        <w:rPr>
          <w:b/>
        </w:rPr>
        <w:t xml:space="preserve">Glitter</w:t>
      </w:r>
      <w:r>
        <w:t xml:space="preserve"> in a face paint should be cosmetic-grade polyester or plant-derived, never
craft glitter, which is cut with sharp edges and is a genuine corneal hazard.</w:t>
      </w:r>
    </w:p>
    <w:p>
      <w:pPr>
        <w:pStyle w:val="Heading2"/>
      </w:pPr>
      <w:r>
        <w:t xml:space="preserve">Using it safely</w:t>
      </w:r>
    </w:p>
    <w:p>
      <w:pPr>
        <w:pStyle w:val="ListParagraph"/>
        <w:numPr>
          <w:ilvl w:val="0"/>
          <w:numId w:val="2"/>
        </w:numPr>
      </w:pPr>
      <w:r>
        <w:rPr>
          <w:b/>
        </w:rPr>
        <w:t xml:space="preserve">Buy a cosmetic</w:t>
      </w:r>
      <w:r>
        <w:t xml:space="preserve">, from a brand that states FDA-compliant colour additives or EU
cosmetic compliance, and check the date.</w:t>
      </w:r>
    </w:p>
    <w:p>
      <w:pPr>
        <w:pStyle w:val="ListParagraph"/>
        <w:numPr>
          <w:ilvl w:val="0"/>
          <w:numId w:val="2"/>
        </w:numPr>
      </w:pPr>
      <w:r>
        <w:rPr>
          <w:b/>
        </w:rPr>
        <w:t xml:space="preserve">Patch test</w:t>
      </w:r>
      <w:r>
        <w:t xml:space="preserve"> on the inner arm 24–48 hours before, especially on children.</w:t>
      </w:r>
    </w:p>
    <w:p>
      <w:pPr>
        <w:pStyle w:val="ListParagraph"/>
        <w:numPr>
          <w:ilvl w:val="0"/>
          <w:numId w:val="2"/>
        </w:numPr>
      </w:pPr>
      <w:r>
        <w:rPr>
          <w:b/>
        </w:rPr>
        <w:t xml:space="preserve">Not on broken skin, eczema, or an active rash.</w:t>
      </w:r>
    </w:p>
    <w:p>
      <w:pPr>
        <w:pStyle w:val="ListParagraph"/>
        <w:numPr>
          <w:ilvl w:val="0"/>
          <w:numId w:val="2"/>
        </w:numPr>
      </w:pPr>
      <w:r>
        <w:rPr>
          <w:b/>
        </w:rPr>
        <w:t xml:space="preserve">Not on the lips or in the eyes</w:t>
      </w:r>
      <w:r>
        <w:t xml:space="preserve"> unless the specific product is approved for
those areas.</w:t>
      </w:r>
    </w:p>
    <w:p>
      <w:pPr>
        <w:pStyle w:val="ListParagraph"/>
        <w:numPr>
          <w:ilvl w:val="0"/>
          <w:numId w:val="2"/>
        </w:numPr>
      </w:pPr>
      <w:r>
        <w:rPr>
          <w:b/>
        </w:rPr>
        <w:t xml:space="preserve">Remove it the same day</w:t>
      </w:r>
      <w:r>
        <w:t xml:space="preserve"> — usually with an oil cleanser or micellar water; leaving
heavy paint on overnight is a reliable route to congestion and irritation.</w:t>
      </w:r>
    </w:p>
    <w:p>
      <w:pPr>
        <w:pStyle w:val="ListParagraph"/>
        <w:numPr>
          <w:ilvl w:val="0"/>
          <w:numId w:val="2"/>
        </w:numPr>
      </w:pPr>
      <w:r>
        <w:rPr>
          <w:b/>
        </w:rPr>
        <w:t xml:space="preserve">Do not share</w:t>
      </w:r>
      <w:r>
        <w:t xml:space="preserve"> pots, sponges or brushes between people at an event. Decant, and
use disposable applicators.</w:t>
      </w:r>
    </w:p>
    <w:p>
      <w:pPr>
        <w:pStyle w:val="Heading2"/>
      </w:pPr>
      <w:r>
        <w:t xml:space="preserve">Where it sits in the rules</w:t>
      </w:r>
    </w:p>
    <w:p>
      <w:r>
        <w:rPr>
          <w:b/>
        </w:rPr>
        <w:t xml:space="preserve">Cosmetic</w:t>
      </w:r>
      <w:r>
        <w:t xml:space="preserve"> in the US — FDA primary category (08), makeup preparations (not eye) — or,
for products intended for children, </w:t>
      </w:r>
      <w:r>
        <w:rPr>
          <w:b/>
        </w:rPr>
        <w:t xml:space="preserve">(09) makeup preparations for children (not eye)</w:t>
      </w:r>
      <w:r>
        <w:t xml:space="preserve">
and </w:t>
      </w:r>
      <w:r>
        <w:rPr>
          <w:b/>
        </w:rPr>
        <w:t xml:space="preserve">(04) children's eye makeup preparations</w:t>
      </w:r>
      <w:r>
        <w:t xml:space="preserve">. FDA maintains those as distinct
primary categories precisely because children's products warrant separate attention.</w:t>
      </w:r>
    </w:p>
    <w:p>
      <w:r>
        <w:t xml:space="preserve">Under MoCRA, facilities register and products are listed with FDA, and the
</w:t>
      </w:r>
      <w:r>
        <w:rPr>
          <w:b/>
        </w:rPr>
        <w:t xml:space="preserve">small-business exemption does not apply</w:t>
      </w:r>
      <w:r>
        <w:t xml:space="preserve"> to products that regularly contact the
mucous membrane of the eye.</w:t>
      </w:r>
    </w:p>
    <w:p>
      <w:r>
        <w:t xml:space="preserve">In the EU, the same product is a cosmetic under Regulation (EC) No 1223/2009 with the
Annex IV positive list of permitted colorants — </w:t>
      </w:r>
      <w:r>
        <w:rPr>
          <w:b/>
        </w:rPr>
        <w:t xml:space="preserve">153 entries</w:t>
      </w:r>
      <w:r>
        <w:t xml:space="preserve"> — governing what may be
used at all.</w:t>
      </w:r>
    </w:p>
    <w:p>
      <w:pPr>
        <w:pStyle w:val="Heading2"/>
      </w:pPr>
      <w:r>
        <w:t xml:space="preserve">Shelf life</w:t>
      </w:r>
    </w:p>
    <w:p>
      <w:r>
        <w:t xml:space="preserve">Water-activated cakes are low-water and stable for </w:t>
      </w:r>
      <w:r>
        <w:rPr>
          <w:b/>
        </w:rPr>
        <w:t xml:space="preserve">two years or more</w:t>
      </w:r>
      <w:r>
        <w:t xml:space="preserve"> unopened;
once used with wet brushes and left uncovered they collect skin flora and should be
replaced yearly, and always after an event where they were shared. Cream paints follow
the usual </w:t>
      </w:r>
      <w:r>
        <w:rPr>
          <w:b/>
        </w:rPr>
        <w:t xml:space="preserve">12 months</w:t>
      </w:r>
      <w:r>
        <w:t xml:space="preserve"> after opening. Discard anything that smells off, has changed
colour, or was used near an eye infection.</w:t>
      </w:r>
    </w:p>
    <w:p>
      <w:pPr>
        <w:pStyle w:val="Heading2"/>
      </w:pPr>
      <w:r>
        <w:t xml:space="preserve">Related</w:t>
      </w:r>
    </w:p>
    <w:p>
      <w:pPr>
        <w:pStyle w:val="ListParagraph"/>
        <w:numPr>
          <w:ilvl w:val="0"/>
          <w:numId w:val="1"/>
        </w:numPr>
      </w:pPr>
      <w:hyperlink r:id="rId115">
        <w:r>
          <w:rPr>
            <w:color w:val="1F4E79"/>
            <w:u w:val="single"/>
          </w:rPr>
          <w:t xml:space="preserve">Makeup</w:t>
        </w:r>
      </w:hyperlink>
      <w:r>
        <w:t xml:space="preserve"> — the shelf this sits on, and the rest of it.</w:t>
      </w:r>
    </w:p>
    <w:p>
      <w:pPr>
        <w:pStyle w:val="ListParagraph"/>
        <w:numPr>
          <w:ilvl w:val="0"/>
          <w:numId w:val="1"/>
        </w:numPr>
      </w:pPr>
      <w:hyperlink r:id="rId116">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Colour and contour</w:t>
      </w:r>
      <w:r>
        <w:t xml:space="preserve"> — </w:t>
      </w:r>
      <w:hyperlink r:id="rId117">
        <w:r>
          <w:rPr>
            <w:color w:val="1F4E79"/>
            <w:u w:val="single"/>
          </w:rPr>
          <w:t xml:space="preserve">Blush</w:t>
        </w:r>
      </w:hyperlink>
      <w:r>
        <w:t xml:space="preserve"> · </w:t>
      </w:r>
      <w:hyperlink r:id="rId118">
        <w:r>
          <w:rPr>
            <w:color w:val="1F4E79"/>
            <w:u w:val="single"/>
          </w:rPr>
          <w:t xml:space="preserve">Bronzer</w:t>
        </w:r>
      </w:hyperlink>
      <w:r>
        <w:t xml:space="preserve"> · </w:t>
      </w:r>
      <w:hyperlink r:id="rId119">
        <w:r>
          <w:rPr>
            <w:color w:val="1F4E79"/>
            <w:u w:val="single"/>
          </w:rPr>
          <w:t xml:space="preserve">Contour</w:t>
        </w:r>
      </w:hyperlink>
      <w:r>
        <w:t xml:space="preserve"> · </w:t>
      </w:r>
      <w:hyperlink r:id="rId120">
        <w:r>
          <w:rPr>
            <w:color w:val="1F4E79"/>
            <w:u w:val="single"/>
          </w:rPr>
          <w:t xml:space="preserve">Highlighter</w:t>
        </w:r>
      </w:hyperlink>
      <w:r>
        <w:t xml:space="preserve"> · </w:t>
      </w:r>
      <w:hyperlink r:id="rId121">
        <w:r>
          <w:rPr>
            <w:color w:val="1F4E79"/>
            <w:u w:val="single"/>
          </w:rPr>
          <w:t xml:space="preserve">Body Paint</w:t>
        </w:r>
      </w:hyperlink>
      <w:r>
        <w:t xml:space="preserve"> · </w:t>
      </w:r>
      <w:hyperlink r:id="rId122">
        <w:r>
          <w:rPr>
            <w:color w:val="1F4E79"/>
            <w:u w:val="single"/>
          </w:rPr>
          <w:t xml:space="preserve">Leg Makeup</w:t>
        </w:r>
      </w:hyperlink>
      <w:r>
        <w:t xml:space="preserve">.</w:t>
      </w:r>
    </w:p>
    <w:p>
      <w:pPr>
        <w:pStyle w:val="ListParagraph"/>
        <w:numPr>
          <w:ilvl w:val="0"/>
          <w:numId w:val="1"/>
        </w:numPr>
      </w:pPr>
      <w:hyperlink r:id="rId123">
        <w:r>
          <w:rPr>
            <w:color w:val="1F4E79"/>
            <w:u w:val="single"/>
          </w:rPr>
          <w:t xml:space="preserve">Children's Face Paint</w:t>
        </w:r>
      </w:hyperlink>
      <w:r>
        <w:t xml:space="preserve"> — the same product where the rules are stricter.</w:t>
      </w:r>
    </w:p>
    <w:p>
      <w:pPr>
        <w:pStyle w:val="ListParagraph"/>
        <w:numPr>
          <w:ilvl w:val="0"/>
          <w:numId w:val="1"/>
        </w:numPr>
      </w:pPr>
      <w:r>
        <w:t xml:space="preserve">Regulatory statements here follow the FDA and EU sources listed on </w:t>
      </w:r>
      <w:hyperlink r:id="rId124">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makeup/face-paint" TargetMode="External"/><Relationship Id="rId101" Type="http://schemas.openxmlformats.org/officeDocument/2006/relationships/hyperlink" Target="https://www.agoramores.com/tags/makeup" TargetMode="External"/><Relationship Id="rId102" Type="http://schemas.openxmlformats.org/officeDocument/2006/relationships/hyperlink" Target="https://www.agoramores.com/cosmetics/makeup/lash-primer" TargetMode="External"/><Relationship Id="rId103" Type="http://schemas.openxmlformats.org/officeDocument/2006/relationships/hyperlink" Target="https://www.agoramores.com/cosmetics/makeup/face-powder" TargetMode="External"/><Relationship Id="rId104" Type="http://schemas.openxmlformats.org/officeDocument/2006/relationships/hyperlink" Target="https://www.agoramores.com/cosmetics/makeup/body-paint" TargetMode="External"/><Relationship Id="rId105" Type="http://schemas.openxmlformats.org/officeDocument/2006/relationships/hyperlink" Target="https://www.agoramores.com/cosmetics/makeup/lip-gloss" TargetMode="External"/><Relationship Id="rId106" Type="http://schemas.openxmlformats.org/officeDocument/2006/relationships/hyperlink" Target="https://www.agoramores.com/cosmetics/makeup/eyelash-adhesive" TargetMode="External"/><Relationship Id="rId107" Type="http://schemas.openxmlformats.org/officeDocument/2006/relationships/hyperlink" Target="https://www.agoramores.com/cosmetics/makeup/lipstick"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skincare/facial-oil" TargetMode="External"/><Relationship Id="rId110" Type="http://schemas.openxmlformats.org/officeDocument/2006/relationships/hyperlink" Target="https://www.agoramores.com/cosmetics/bath-and-body/bubble-bath" TargetMode="External"/><Relationship Id="rId111" Type="http://schemas.openxmlformats.org/officeDocument/2006/relationships/hyperlink" Target="https://www.agoramores.com/cosmetics/sun-and-tanning/mineral-sunscreen" TargetMode="External"/><Relationship Id="rId112" Type="http://schemas.openxmlformats.org/officeDocument/2006/relationships/hyperlink" Target="https://www.agoramores.com/cosmetics/sun-and-tanning" TargetMode="External"/><Relationship Id="rId113" Type="http://schemas.openxmlformats.org/officeDocument/2006/relationships/hyperlink" Target="https://www.agoramores.com/cosmetics/hair-colour/permanent-hair-dye" TargetMode="External"/><Relationship Id="rId114" Type="http://schemas.openxmlformats.org/officeDocument/2006/relationships/hyperlink" Target="https://www.agoramores.com/cosmetics/haircare/mousse" TargetMode="External"/><Relationship Id="rId115" Type="http://schemas.openxmlformats.org/officeDocument/2006/relationships/hyperlink" Target="https://www.agoramores.com/cosmetics/makeup/portal" TargetMode="External"/><Relationship Id="rId116" Type="http://schemas.openxmlformats.org/officeDocument/2006/relationships/hyperlink" Target="https://www.agoramores.com/cosmetics/portal" TargetMode="External"/><Relationship Id="rId117" Type="http://schemas.openxmlformats.org/officeDocument/2006/relationships/hyperlink" Target="https://www.agoramores.com/cosmetics/makeup/blush" TargetMode="External"/><Relationship Id="rId118" Type="http://schemas.openxmlformats.org/officeDocument/2006/relationships/hyperlink" Target="https://www.agoramores.com/cosmetics/makeup/bronzer" TargetMode="External"/><Relationship Id="rId119" Type="http://schemas.openxmlformats.org/officeDocument/2006/relationships/hyperlink" Target="https://www.agoramores.com/cosmetics/makeup/contour" TargetMode="External"/><Relationship Id="rId120" Type="http://schemas.openxmlformats.org/officeDocument/2006/relationships/hyperlink" Target="https://www.agoramores.com/cosmetics/makeup/highlighter" TargetMode="External"/><Relationship Id="rId121" Type="http://schemas.openxmlformats.org/officeDocument/2006/relationships/hyperlink" Target="https://www.agoramores.com/cosmetics/makeup/body-paint" TargetMode="External"/><Relationship Id="rId122" Type="http://schemas.openxmlformats.org/officeDocument/2006/relationships/hyperlink" Target="https://www.agoramores.com/cosmetics/makeup/leg-makeup" TargetMode="External"/><Relationship Id="rId123" Type="http://schemas.openxmlformats.org/officeDocument/2006/relationships/hyperlink" Target="https://www.agoramores.com/cosmetics/makeup/childrens-face-paint" TargetMode="External"/><Relationship Id="rId124"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face paint</dc:title>
  <dc:creator>Agoramores</dc:creator>
  <cp:keywords>cosmetics, makeup</cp:keywords>
  <dcterms:created xsi:type="dcterms:W3CDTF">2026-08-22T02:17:13Z</dcterms:created>
</cp:coreProperties>
</file>