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eyeliner</w:t>
      </w:r>
    </w:p>
    <w:p>
      <w:pPr>
        <w:pStyle w:val="Subtitle"/>
      </w:pPr>
      <w:hyperlink r:id="rId100">
        <w:r>
          <w:rPr>
            <w:color w:val="1F4E79"/>
            <w:u w:val="single"/>
          </w:rPr>
          <w:t xml:space="preserve">https://www.agoramores.com/cosmetics/makeup/eyeliner</w:t>
        </w:r>
      </w:hyperlink>
    </w:p>
    <w:p>
      <w:pPr>
        <w:pStyle w:val="Subtitle"/>
      </w:pPr>
      <w:r>
        <w:t xml:space="preserve">Tags: cosmetics · makeup</w:t>
      </w:r>
    </w:p>
    <w:p>
      <w:pPr>
        <w:pBdr>
          <w:bottom w:val="single" w:sz="6" w:space="1" w:color="808080"/>
        </w:pBdr>
      </w:pPr>
    </w:p>
    <w:p>
      <w:pPr>
        <w:pStyle w:val="Heading1"/>
      </w:pPr>
      <w:r>
        <w:t xml:space="preserve">Related</w:t>
      </w:r>
    </w:p>
    <w:p>
      <w:pPr>
        <w:pStyle w:val="Heading2"/>
      </w:pPr>
      <w:hyperlink r:id="rId101">
        <w:r>
          <w:rPr>
            <w:color w:val="1F4E79"/>
            <w:u w:val="single"/>
          </w:rPr>
          <w:t xml:space="preserve">makeup</w:t>
        </w:r>
      </w:hyperlink>
    </w:p>
    <w:p>
      <w:pPr>
        <w:pStyle w:val="ListParagraph"/>
        <w:numPr>
          <w:ilvl w:val="0"/>
          <w:numId w:val="1"/>
        </w:numPr>
      </w:pPr>
      <w:hyperlink r:id="rId102">
        <w:r>
          <w:rPr>
            <w:color w:val="1F4E79"/>
            <w:u w:val="single"/>
          </w:rPr>
          <w:t xml:space="preserve">lash primer</w:t>
        </w:r>
      </w:hyperlink>
    </w:p>
    <w:p>
      <w:pPr>
        <w:pStyle w:val="ListParagraph"/>
        <w:numPr>
          <w:ilvl w:val="0"/>
          <w:numId w:val="1"/>
        </w:numPr>
      </w:pPr>
      <w:hyperlink r:id="rId103">
        <w:r>
          <w:rPr>
            <w:color w:val="1F4E79"/>
            <w:u w:val="single"/>
          </w:rPr>
          <w:t xml:space="preserve">face powder</w:t>
        </w:r>
      </w:hyperlink>
    </w:p>
    <w:p>
      <w:pPr>
        <w:pStyle w:val="ListParagraph"/>
        <w:numPr>
          <w:ilvl w:val="0"/>
          <w:numId w:val="1"/>
        </w:numPr>
      </w:pPr>
      <w:hyperlink r:id="rId104">
        <w:r>
          <w:rPr>
            <w:color w:val="1F4E79"/>
            <w:u w:val="single"/>
          </w:rPr>
          <w:t xml:space="preserve">body paint</w:t>
        </w:r>
      </w:hyperlink>
    </w:p>
    <w:p>
      <w:pPr>
        <w:pStyle w:val="ListParagraph"/>
        <w:numPr>
          <w:ilvl w:val="0"/>
          <w:numId w:val="1"/>
        </w:numPr>
      </w:pPr>
      <w:hyperlink r:id="rId105">
        <w:r>
          <w:rPr>
            <w:color w:val="1F4E79"/>
            <w:u w:val="single"/>
          </w:rPr>
          <w:t xml:space="preserve">lip gloss</w:t>
        </w:r>
      </w:hyperlink>
    </w:p>
    <w:p>
      <w:pPr>
        <w:pStyle w:val="ListParagraph"/>
        <w:numPr>
          <w:ilvl w:val="0"/>
          <w:numId w:val="1"/>
        </w:numPr>
      </w:pPr>
      <w:hyperlink r:id="rId106">
        <w:r>
          <w:rPr>
            <w:color w:val="1F4E79"/>
            <w:u w:val="single"/>
          </w:rPr>
          <w:t xml:space="preserve">eyelash adhesive</w:t>
        </w:r>
      </w:hyperlink>
    </w:p>
    <w:p>
      <w:pPr>
        <w:pStyle w:val="ListParagraph"/>
        <w:numPr>
          <w:ilvl w:val="0"/>
          <w:numId w:val="1"/>
        </w:numPr>
      </w:pPr>
      <w:hyperlink r:id="rId107">
        <w:r>
          <w:rPr>
            <w:color w:val="1F4E79"/>
            <w:u w:val="single"/>
          </w:rPr>
          <w:t xml:space="preserve">lipstick</w:t>
        </w:r>
      </w:hyperlink>
    </w:p>
    <w:p>
      <w:pPr>
        <w:pStyle w:val="Heading2"/>
      </w:pPr>
      <w:hyperlink r:id="rId108">
        <w:r>
          <w:rPr>
            <w:color w:val="1F4E79"/>
            <w:u w:val="single"/>
          </w:rPr>
          <w:t xml:space="preserve">cosmetics</w:t>
        </w:r>
      </w:hyperlink>
    </w:p>
    <w:p>
      <w:pPr>
        <w:pStyle w:val="ListParagraph"/>
        <w:numPr>
          <w:ilvl w:val="0"/>
          <w:numId w:val="1"/>
        </w:numPr>
      </w:pPr>
      <w:hyperlink r:id="rId109">
        <w:r>
          <w:rPr>
            <w:color w:val="1F4E79"/>
            <w:u w:val="single"/>
          </w:rPr>
          <w:t xml:space="preserve">facial oil</w:t>
        </w:r>
      </w:hyperlink>
    </w:p>
    <w:p>
      <w:pPr>
        <w:pStyle w:val="ListParagraph"/>
        <w:numPr>
          <w:ilvl w:val="0"/>
          <w:numId w:val="1"/>
        </w:numPr>
      </w:pPr>
      <w:hyperlink r:id="rId110">
        <w:r>
          <w:rPr>
            <w:color w:val="1F4E79"/>
            <w:u w:val="single"/>
          </w:rPr>
          <w:t xml:space="preserve">bubble bath</w:t>
        </w:r>
      </w:hyperlink>
    </w:p>
    <w:p>
      <w:pPr>
        <w:pStyle w:val="ListParagraph"/>
        <w:numPr>
          <w:ilvl w:val="0"/>
          <w:numId w:val="1"/>
        </w:numPr>
      </w:pPr>
      <w:hyperlink r:id="rId111">
        <w:r>
          <w:rPr>
            <w:color w:val="1F4E79"/>
            <w:u w:val="single"/>
          </w:rPr>
          <w:t xml:space="preserve">mineral sunscreen</w:t>
        </w:r>
      </w:hyperlink>
    </w:p>
    <w:p>
      <w:pPr>
        <w:pStyle w:val="ListParagraph"/>
        <w:numPr>
          <w:ilvl w:val="0"/>
          <w:numId w:val="1"/>
        </w:numPr>
      </w:pPr>
      <w:hyperlink r:id="rId112">
        <w:r>
          <w:rPr>
            <w:color w:val="1F4E79"/>
            <w:u w:val="single"/>
          </w:rPr>
          <w:t xml:space="preserve">tanning accelerator</w:t>
        </w:r>
      </w:hyperlink>
    </w:p>
    <w:p>
      <w:pPr>
        <w:pStyle w:val="ListParagraph"/>
        <w:numPr>
          <w:ilvl w:val="0"/>
          <w:numId w:val="1"/>
        </w:numPr>
      </w:pPr>
      <w:hyperlink r:id="rId113">
        <w:r>
          <w:rPr>
            <w:color w:val="1F4E79"/>
            <w:u w:val="single"/>
          </w:rPr>
          <w:t xml:space="preserve">sun and tanning</w:t>
        </w:r>
      </w:hyperlink>
    </w:p>
    <w:p>
      <w:pPr>
        <w:pStyle w:val="ListParagraph"/>
        <w:numPr>
          <w:ilvl w:val="0"/>
          <w:numId w:val="1"/>
        </w:numPr>
      </w:pPr>
      <w:hyperlink r:id="rId114">
        <w:r>
          <w:rPr>
            <w:color w:val="1F4E79"/>
            <w:u w:val="single"/>
          </w:rPr>
          <w:t xml:space="preserve">permanent hair dye</w:t>
        </w:r>
      </w:hyperlink>
    </w:p>
    <w:p>
      <w:pPr>
        <w:pStyle w:val="Heading1"/>
      </w:pPr>
      <w:r>
        <w:t xml:space="preserve">Eyeliner</w:t>
      </w:r>
    </w:p>
    <w:p>
      <w:r>
        <w:t xml:space="preserve">Pigment drawn along the lash line to define the eye. Eyeliner is the oldest cosmetic
still in use in recognisable form — Egyptian tomb evidence puts it well before 3000 BC
— and it is the product applied closest to the eye, which makes both its formulation
and its hygiene unusually consequential.</w:t>
      </w:r>
    </w:p>
    <w:p>
      <w:pPr>
        <w:pStyle w:val="Heading2"/>
      </w:pPr>
      <w:r>
        <w:t xml:space="preserve">The formats</w:t>
      </w:r>
    </w:p>
    <w:tbl>
      <w:tblPr>
        <w:tblStyle w:val="TableGrid"/>
        <w:tblW w:w="0" w:type="auto"/>
      </w:tblPr>
      <w:tblGrid>
        <w:gridCol w:w="2400"/>
        <w:gridCol w:w="2400"/>
        <w:gridCol w:w="2400"/>
      </w:tblGrid>
      <w:tr>
        <w:trPr>
          <w:tblHeader/>
        </w:trPr>
        <w:tc>
          <w:tcPr>
            <w:tcW w:w="2400" w:type="dxa"/>
          </w:tcPr>
          <w:p>
            <w:pPr>
              <w:pStyle w:val="TableText"/>
            </w:pPr>
            <w:r>
              <w:rPr>
                <w:b/>
              </w:rPr>
              <w:t xml:space="preserve">Format</w:t>
            </w:r>
          </w:p>
        </w:tc>
        <w:tc>
          <w:tcPr>
            <w:tcW w:w="2400" w:type="dxa"/>
          </w:tcPr>
          <w:p>
            <w:pPr>
              <w:pStyle w:val="TableText"/>
            </w:pPr>
            <w:r>
              <w:rPr>
                <w:b/>
              </w:rPr>
              <w:t xml:space="preserve">Behaviour</w:t>
            </w:r>
          </w:p>
        </w:tc>
        <w:tc>
          <w:tcPr>
            <w:tcW w:w="2400" w:type="dxa"/>
          </w:tcPr>
          <w:p>
            <w:pPr>
              <w:pStyle w:val="TableText"/>
            </w:pPr>
            <w:r>
              <w:rPr>
                <w:b/>
              </w:rPr>
              <w:t xml:space="preserve">Best for</w:t>
            </w:r>
          </w:p>
        </w:tc>
      </w:tr>
      <w:tr>
        <w:tc>
          <w:tcPr>
            <w:tcW w:w="2400" w:type="dxa"/>
          </w:tcPr>
          <w:p>
            <w:pPr>
              <w:pStyle w:val="TableText"/>
            </w:pPr>
            <w:r>
              <w:rPr>
                <w:b/>
              </w:rPr>
              <w:t xml:space="preserve">Pencil (wood or mechanical)</w:t>
            </w:r>
          </w:p>
        </w:tc>
        <w:tc>
          <w:tcPr>
            <w:tcW w:w="2400" w:type="dxa"/>
          </w:tcPr>
          <w:p>
            <w:pPr>
              <w:pStyle w:val="TableText"/>
            </w:pPr>
            <w:r>
              <w:t xml:space="preserve">Waxy, soft, blendable</w:t>
            </w:r>
          </w:p>
        </w:tc>
        <w:tc>
          <w:tcPr>
            <w:tcW w:w="2400" w:type="dxa"/>
          </w:tcPr>
          <w:p>
            <w:pPr>
              <w:pStyle w:val="TableText"/>
            </w:pPr>
            <w:r>
              <w:t xml:space="preserve">Smudged looks, the waterline, beginners</w:t>
            </w:r>
          </w:p>
        </w:tc>
      </w:tr>
      <w:tr>
        <w:tc>
          <w:tcPr>
            <w:tcW w:w="2400" w:type="dxa"/>
          </w:tcPr>
          <w:p>
            <w:pPr>
              <w:pStyle w:val="TableText"/>
            </w:pPr>
            <w:r>
              <w:rPr>
                <w:b/>
              </w:rPr>
              <w:t xml:space="preserve">Gel pot</w:t>
            </w:r>
          </w:p>
        </w:tc>
        <w:tc>
          <w:tcPr>
            <w:tcW w:w="2400" w:type="dxa"/>
          </w:tcPr>
          <w:p>
            <w:pPr>
              <w:pStyle w:val="TableText"/>
            </w:pPr>
            <w:r>
              <w:t xml:space="preserve">Dense pigment, sets firm</w:t>
            </w:r>
          </w:p>
        </w:tc>
        <w:tc>
          <w:tcPr>
            <w:tcW w:w="2400" w:type="dxa"/>
          </w:tcPr>
          <w:p>
            <w:pPr>
              <w:pStyle w:val="TableText"/>
            </w:pPr>
            <w:r>
              <w:t xml:space="preserve">Sharp lines, control, longevity</w:t>
            </w:r>
          </w:p>
        </w:tc>
      </w:tr>
      <w:tr>
        <w:tc>
          <w:tcPr>
            <w:tcW w:w="2400" w:type="dxa"/>
          </w:tcPr>
          <w:p>
            <w:pPr>
              <w:pStyle w:val="TableText"/>
            </w:pPr>
            <w:r>
              <w:rPr>
                <w:b/>
              </w:rPr>
              <w:t xml:space="preserve">Liquid (felt tip or brush)</w:t>
            </w:r>
          </w:p>
        </w:tc>
        <w:tc>
          <w:tcPr>
            <w:tcW w:w="2400" w:type="dxa"/>
          </w:tcPr>
          <w:p>
            <w:pPr>
              <w:pStyle w:val="TableText"/>
            </w:pPr>
            <w:r>
              <w:t xml:space="preserve">The sharpest line, unforgiving</w:t>
            </w:r>
          </w:p>
        </w:tc>
        <w:tc>
          <w:tcPr>
            <w:tcW w:w="2400" w:type="dxa"/>
          </w:tcPr>
          <w:p>
            <w:pPr>
              <w:pStyle w:val="TableText"/>
            </w:pPr>
            <w:r>
              <w:t xml:space="preserve">Wings, graphic looks</w:t>
            </w:r>
          </w:p>
        </w:tc>
      </w:tr>
      <w:tr>
        <w:tc>
          <w:tcPr>
            <w:tcW w:w="2400" w:type="dxa"/>
          </w:tcPr>
          <w:p>
            <w:pPr>
              <w:pStyle w:val="TableText"/>
            </w:pPr>
            <w:r>
              <w:rPr>
                <w:b/>
              </w:rPr>
              <w:t xml:space="preserve">Powder</w:t>
            </w:r>
          </w:p>
        </w:tc>
        <w:tc>
          <w:tcPr>
            <w:tcW w:w="2400" w:type="dxa"/>
          </w:tcPr>
          <w:p>
            <w:pPr>
              <w:pStyle w:val="TableText"/>
            </w:pPr>
            <w:r>
              <w:t xml:space="preserve">Softest, applied with an angled brush</w:t>
            </w:r>
          </w:p>
        </w:tc>
        <w:tc>
          <w:tcPr>
            <w:tcW w:w="2400" w:type="dxa"/>
          </w:tcPr>
          <w:p>
            <w:pPr>
              <w:pStyle w:val="TableText"/>
            </w:pPr>
            <w:r>
              <w:t xml:space="preserve">Diffused definition</w:t>
            </w:r>
          </w:p>
        </w:tc>
      </w:tr>
      <w:tr>
        <w:tc>
          <w:tcPr>
            <w:tcW w:w="2400" w:type="dxa"/>
          </w:tcPr>
          <w:p>
            <w:pPr>
              <w:pStyle w:val="TableText"/>
            </w:pPr>
            <w:r>
              <w:rPr>
                <w:b/>
              </w:rPr>
              <w:t xml:space="preserve">Kohl / kajal</w:t>
            </w:r>
          </w:p>
        </w:tc>
        <w:tc>
          <w:tcPr>
            <w:tcW w:w="2400" w:type="dxa"/>
          </w:tcPr>
          <w:p>
            <w:pPr>
              <w:pStyle w:val="TableText"/>
            </w:pPr>
            <w:r>
              <w:t xml:space="preserve">Traditional, very soft</w:t>
            </w:r>
          </w:p>
        </w:tc>
        <w:tc>
          <w:tcPr>
            <w:tcW w:w="2400" w:type="dxa"/>
          </w:tcPr>
          <w:p>
            <w:pPr>
              <w:pStyle w:val="TableText"/>
            </w:pPr>
            <w:r>
              <w:t xml:space="preserve">See </w:t>
            </w:r>
            <w:hyperlink r:id="rId115">
              <w:r>
                <w:rPr>
                  <w:color w:val="1F4E79"/>
                  <w:u w:val="single"/>
                </w:rPr>
                <w:t xml:space="preserve">Kohl and Kajal</w:t>
              </w:r>
            </w:hyperlink>
          </w:p>
        </w:tc>
      </w:tr>
    </w:tbl>
    <w:p/>
    <w:p>
      <w:r>
        <w:t xml:space="preserve">Modern pencils are pigment in a wax and oil base. Liquid and gel liners add </w:t>
      </w:r>
      <w:r>
        <w:rPr>
          <w:b/>
        </w:rPr>
        <w:t xml:space="preserve">film
formers</w:t>
      </w:r>
      <w:r>
        <w:t xml:space="preserve"> — acrylates copolymers, styrene/acrylates, PVP — which is why they resist
water and sebum and why they take a proper remover to shift.</w:t>
      </w:r>
    </w:p>
    <w:p>
      <w:pPr>
        <w:pStyle w:val="Heading2"/>
      </w:pPr>
      <w:r>
        <w:t xml:space="preserve">The waterline</w:t>
      </w:r>
    </w:p>
    <w:p>
      <w:r>
        <w:t xml:space="preserve">Lining the </w:t>
      </w:r>
      <w:r>
        <w:rPr>
          <w:b/>
        </w:rPr>
        <w:t xml:space="preserve">waterline</w:t>
      </w:r>
      <w:r>
        <w:t xml:space="preserve"> — the wet rim of the lid, between the lashes and the eye — is
common and carries the highest risk of anything in makeup.</w:t>
      </w:r>
    </w:p>
    <w:p>
      <w:pPr>
        <w:pStyle w:val="ListParagraph"/>
        <w:numPr>
          <w:ilvl w:val="0"/>
          <w:numId w:val="1"/>
        </w:numPr>
      </w:pPr>
      <w:r>
        <w:rPr>
          <w:b/>
        </w:rPr>
        <w:t xml:space="preserve">The meibomian glands open onto that rim.</w:t>
      </w:r>
      <w:r>
        <w:t xml:space="preserve"> They secrete the oily layer of the tear
film that stops tears evaporating. Repeated occlusion by waxy product is associated
with meibomian gland dysfunction, and that is the leading cause of evaporative dry
eye.</w:t>
      </w:r>
    </w:p>
    <w:p>
      <w:pPr>
        <w:pStyle w:val="ListParagraph"/>
        <w:numPr>
          <w:ilvl w:val="0"/>
          <w:numId w:val="1"/>
        </w:numPr>
      </w:pPr>
      <w:r>
        <w:rPr>
          <w:b/>
        </w:rPr>
        <w:t xml:space="preserve">Product migrates directly into the tear film</w:t>
      </w:r>
      <w:r>
        <w:t xml:space="preserve">, which is why liner ends up in the
eye and why particles are recoverable from tears after application.</w:t>
      </w:r>
    </w:p>
    <w:p>
      <w:pPr>
        <w:pStyle w:val="ListParagraph"/>
        <w:numPr>
          <w:ilvl w:val="0"/>
          <w:numId w:val="1"/>
        </w:numPr>
      </w:pPr>
      <w:r>
        <w:rPr>
          <w:b/>
        </w:rPr>
        <w:t xml:space="preserve">Contamination goes straight to the ocular surface.</w:t>
      </w:r>
      <w:r>
        <w:t xml:space="preserve"> A pencil used on the waterline
and then stored in a warm bag is a swab.</w:t>
      </w:r>
    </w:p>
    <w:p>
      <w:r>
        <w:t xml:space="preserve">If you line the waterline: use a product intended for it, </w:t>
      </w:r>
      <w:r>
        <w:rPr>
          <w:b/>
        </w:rPr>
        <w:t xml:space="preserve">sharpen the pencil before
every use</w:t>
      </w:r>
      <w:r>
        <w:t xml:space="preserve"> to expose fresh material, never share it, replace it often, and remove it
completely at night. Anyone with dry eye, blepharitis, or contact lenses should think
harder about it.</w:t>
      </w:r>
    </w:p>
    <w:p>
      <w:pPr>
        <w:pStyle w:val="Heading2"/>
      </w:pPr>
      <w:r>
        <w:t xml:space="preserve">Where it sits in the rules</w:t>
      </w:r>
    </w:p>
    <w:p>
      <w:r>
        <w:rPr>
          <w:b/>
        </w:rPr>
        <w:t xml:space="preserve">Cosmetic</w:t>
      </w:r>
      <w:r>
        <w:t xml:space="preserve"> — FDA primary category </w:t>
      </w:r>
      <w:r>
        <w:rPr>
          <w:b/>
        </w:rPr>
        <w:t xml:space="preserve">(03) eye makeup preparations</w:t>
      </w:r>
      <w:r>
        <w:t xml:space="preserve">. Three specific
constraints:</w:t>
      </w:r>
    </w:p>
    <w:p>
      <w:pPr>
        <w:pStyle w:val="ListParagraph"/>
        <w:numPr>
          <w:ilvl w:val="0"/>
          <w:numId w:val="1"/>
        </w:numPr>
      </w:pPr>
      <w:r>
        <w:rPr>
          <w:b/>
        </w:rPr>
        <w:t xml:space="preserve">Only colour additives approved for eye-area use</w:t>
      </w:r>
      <w:r>
        <w:t xml:space="preserve"> may be present. This is the
restriction that shapes the shelf: intense blues, greens and purples in eyeliner are
made with permitted inorganics — ultramarines, chromium oxides, ferric ferrocyanide,
manganese violet — rather than the certified organic lakes used on lips.</w:t>
      </w:r>
    </w:p>
    <w:p>
      <w:pPr>
        <w:pStyle w:val="ListParagraph"/>
        <w:numPr>
          <w:ilvl w:val="0"/>
          <w:numId w:val="1"/>
        </w:numPr>
      </w:pPr>
      <w:r>
        <w:rPr>
          <w:b/>
        </w:rPr>
        <w:t xml:space="preserve">Kohl containing lead is prohibited</w:t>
      </w:r>
      <w:r>
        <w:t xml:space="preserve">, and imported traditional preparations are the
recurring problem. See </w:t>
      </w:r>
      <w:hyperlink r:id="rId116">
        <w:r>
          <w:rPr>
            <w:color w:val="1F4E79"/>
            <w:u w:val="single"/>
          </w:rPr>
          <w:t xml:space="preserve">Kohl and Kajal</w:t>
        </w:r>
      </w:hyperlink>
      <w:r>
        <w:t xml:space="preserve">.</w:t>
      </w:r>
    </w:p>
    <w:p>
      <w:pPr>
        <w:pStyle w:val="ListParagraph"/>
        <w:numPr>
          <w:ilvl w:val="0"/>
          <w:numId w:val="1"/>
        </w:numPr>
      </w:pPr>
      <w:r>
        <w:t xml:space="preserve">The </w:t>
      </w:r>
      <w:r>
        <w:rPr>
          <w:b/>
        </w:rPr>
        <w:t xml:space="preserve">mercury carve-out</w:t>
      </w:r>
      <w:r>
        <w:t xml:space="preserve"> — mercury compounds are prohibited in cosmetics except as a
preservative in eye-area products at </w:t>
      </w:r>
      <w:r>
        <w:rPr>
          <w:b/>
        </w:rPr>
        <w:t xml:space="preserve">≤65 ppm</w:t>
      </w:r>
      <w:r>
        <w:t xml:space="preserve">, and only where no other safe and
effective preservative is available.</w:t>
      </w:r>
    </w:p>
    <w:p>
      <w:r>
        <w:t xml:space="preserve">Under MoCRA, the </w:t>
      </w:r>
      <w:r>
        <w:rPr>
          <w:b/>
        </w:rPr>
        <w:t xml:space="preserve">small-business exemption from registration and listing does not
apply</w:t>
      </w:r>
      <w:r>
        <w:t xml:space="preserve"> to products that regularly contact the mucous membrane of the eye.</w:t>
      </w:r>
    </w:p>
    <w:p>
      <w:pPr>
        <w:pStyle w:val="Heading2"/>
      </w:pPr>
      <w:r>
        <w:t xml:space="preserve">Shelf life</w:t>
      </w:r>
    </w:p>
    <w:p>
      <w:pPr>
        <w:pStyle w:val="ListParagraph"/>
        <w:numPr>
          <w:ilvl w:val="0"/>
          <w:numId w:val="1"/>
        </w:numPr>
      </w:pPr>
      <w:r>
        <w:rPr>
          <w:b/>
        </w:rPr>
        <w:t xml:space="preserve">Liquid and gel liners: three to six months after opening.</w:t>
      </w:r>
      <w:r>
        <w:t xml:space="preserve"> Water-containing, in a
tube or pot that the applicator returns to after touching the eye. This is the
shortest life in the catalogue after </w:t>
      </w:r>
      <w:hyperlink r:id="rId117">
        <w:r>
          <w:rPr>
            <w:color w:val="1F4E79"/>
            <w:u w:val="single"/>
          </w:rPr>
          <w:t xml:space="preserve">Mascara</w:t>
        </w:r>
      </w:hyperlink>
      <w:r>
        <w:t xml:space="preserve">.</w:t>
      </w:r>
    </w:p>
    <w:p>
      <w:pPr>
        <w:pStyle w:val="ListParagraph"/>
        <w:numPr>
          <w:ilvl w:val="0"/>
          <w:numId w:val="1"/>
        </w:numPr>
      </w:pPr>
      <w:r>
        <w:rPr>
          <w:b/>
        </w:rPr>
        <w:t xml:space="preserve">Pencils: up to a year or more</w:t>
      </w:r>
      <w:r>
        <w:t xml:space="preserve">, because sharpening removes the contaminated
surface. That is the real reason a sharpener is a hygiene tool.</w:t>
      </w:r>
    </w:p>
    <w:p>
      <w:pPr>
        <w:pStyle w:val="ListParagraph"/>
        <w:numPr>
          <w:ilvl w:val="0"/>
          <w:numId w:val="1"/>
        </w:numPr>
      </w:pPr>
      <w:r>
        <w:rPr>
          <w:b/>
        </w:rPr>
        <w:t xml:space="preserve">Powder: 18–24 months.</w:t>
      </w:r>
    </w:p>
    <w:p>
      <w:r>
        <w:t xml:space="preserve">The rule that overrides all of them: </w:t>
      </w:r>
      <w:r>
        <w:rPr>
          <w:b/>
        </w:rPr>
        <w:t xml:space="preserve">stop using every eye product at the first sign
of an eye infection, discard the ones in use, and see a clinician.</w:t>
      </w:r>
      <w:r>
        <w:t xml:space="preserve"> Never share
eyeliner, and treat store testers as contaminated.</w:t>
      </w:r>
    </w:p>
    <w:p>
      <w:pPr>
        <w:pStyle w:val="Heading2"/>
      </w:pPr>
      <w:r>
        <w:t xml:space="preserve">Related</w:t>
      </w:r>
    </w:p>
    <w:p>
      <w:pPr>
        <w:pStyle w:val="ListParagraph"/>
        <w:numPr>
          <w:ilvl w:val="0"/>
          <w:numId w:val="1"/>
        </w:numPr>
      </w:pPr>
      <w:hyperlink r:id="rId118">
        <w:r>
          <w:rPr>
            <w:color w:val="1F4E79"/>
            <w:u w:val="single"/>
          </w:rPr>
          <w:t xml:space="preserve">Makeup</w:t>
        </w:r>
      </w:hyperlink>
      <w:r>
        <w:t xml:space="preserve"> — the shelf this sits on, and the rest of it.</w:t>
      </w:r>
    </w:p>
    <w:p>
      <w:pPr>
        <w:pStyle w:val="ListParagraph"/>
        <w:numPr>
          <w:ilvl w:val="0"/>
          <w:numId w:val="1"/>
        </w:numPr>
      </w:pPr>
      <w:hyperlink r:id="rId119">
        <w:r>
          <w:rPr>
            <w:color w:val="1F4E79"/>
            <w:u w:val="single"/>
          </w:rPr>
          <w:t xml:space="preserve">Cosmetics</w:t>
        </w:r>
      </w:hyperlink>
      <w:r>
        <w:t xml:space="preserve"> — what the label is legally allowed to say, and the full catalogue.</w:t>
      </w:r>
    </w:p>
    <w:p>
      <w:pPr>
        <w:pStyle w:val="ListParagraph"/>
        <w:numPr>
          <w:ilvl w:val="0"/>
          <w:numId w:val="1"/>
        </w:numPr>
      </w:pPr>
      <w:r>
        <w:t xml:space="preserve">The rest of </w:t>
      </w:r>
      <w:r>
        <w:rPr>
          <w:i/>
        </w:rPr>
        <w:t xml:space="preserve">Eyes</w:t>
      </w:r>
      <w:r>
        <w:t xml:space="preserve"> — </w:t>
      </w:r>
      <w:hyperlink r:id="rId120">
        <w:r>
          <w:rPr>
            <w:color w:val="1F4E79"/>
            <w:u w:val="single"/>
          </w:rPr>
          <w:t xml:space="preserve">Eyeshadow</w:t>
        </w:r>
      </w:hyperlink>
      <w:r>
        <w:t xml:space="preserve"> · </w:t>
      </w:r>
      <w:hyperlink r:id="rId121">
        <w:r>
          <w:rPr>
            <w:color w:val="1F4E79"/>
            <w:u w:val="single"/>
          </w:rPr>
          <w:t xml:space="preserve">Eyeshadow Primer</w:t>
        </w:r>
      </w:hyperlink>
      <w:r>
        <w:t xml:space="preserve"> · </w:t>
      </w:r>
      <w:hyperlink r:id="rId122">
        <w:r>
          <w:rPr>
            <w:color w:val="1F4E79"/>
            <w:u w:val="single"/>
          </w:rPr>
          <w:t xml:space="preserve">Kohl and Kajal</w:t>
        </w:r>
      </w:hyperlink>
      <w:r>
        <w:t xml:space="preserve"> · </w:t>
      </w:r>
      <w:hyperlink r:id="rId123">
        <w:r>
          <w:rPr>
            <w:color w:val="1F4E79"/>
            <w:u w:val="single"/>
          </w:rPr>
          <w:t xml:space="preserve">Mascara</w:t>
        </w:r>
      </w:hyperlink>
      <w:r>
        <w:t xml:space="preserve"> · </w:t>
      </w:r>
      <w:hyperlink r:id="rId124">
        <w:r>
          <w:rPr>
            <w:color w:val="1F4E79"/>
            <w:u w:val="single"/>
          </w:rPr>
          <w:t xml:space="preserve">Lash Primer</w:t>
        </w:r>
      </w:hyperlink>
      <w:r>
        <w:t xml:space="preserve"> · </w:t>
      </w:r>
      <w:hyperlink r:id="rId125">
        <w:r>
          <w:rPr>
            <w:color w:val="1F4E79"/>
            <w:u w:val="single"/>
          </w:rPr>
          <w:t xml:space="preserve">False Eyelashes</w:t>
        </w:r>
      </w:hyperlink>
      <w:r>
        <w:t xml:space="preserve"> · </w:t>
      </w:r>
      <w:hyperlink r:id="rId126">
        <w:r>
          <w:rPr>
            <w:color w:val="1F4E79"/>
            <w:u w:val="single"/>
          </w:rPr>
          <w:t xml:space="preserve">Eyelash Adhesive</w:t>
        </w:r>
      </w:hyperlink>
      <w:r>
        <w:t xml:space="preserve"> · </w:t>
      </w:r>
      <w:hyperlink r:id="rId127">
        <w:r>
          <w:rPr>
            <w:color w:val="1F4E79"/>
            <w:u w:val="single"/>
          </w:rPr>
          <w:t xml:space="preserve">Eyelash Serum</w:t>
        </w:r>
      </w:hyperlink>
      <w:r>
        <w:t xml:space="preserve"> · </w:t>
      </w:r>
      <w:hyperlink r:id="rId128">
        <w:r>
          <w:rPr>
            <w:color w:val="1F4E79"/>
            <w:u w:val="single"/>
          </w:rPr>
          <w:t xml:space="preserve">Eye Makeup Remover</w:t>
        </w:r>
      </w:hyperlink>
      <w:r>
        <w:t xml:space="preserve"> · </w:t>
      </w:r>
      <w:hyperlink r:id="rId129">
        <w:r>
          <w:rPr>
            <w:color w:val="1F4E79"/>
            <w:u w:val="single"/>
          </w:rPr>
          <w:t xml:space="preserve">Eyelash Cleanser</w:t>
        </w:r>
      </w:hyperlink>
      <w:r>
        <w:t xml:space="preserve">.</w:t>
      </w:r>
    </w:p>
    <w:p>
      <w:pPr>
        <w:pStyle w:val="ListParagraph"/>
        <w:numPr>
          <w:ilvl w:val="0"/>
          <w:numId w:val="1"/>
        </w:numPr>
      </w:pPr>
      <w:r>
        <w:t xml:space="preserve">Regulatory statements here follow the FDA and EU sources listed on </w:t>
      </w:r>
      <w:hyperlink r:id="rId130">
        <w:r>
          <w:rPr>
            <w:color w:val="1F4E79"/>
            <w:u w:val="single"/>
          </w:rPr>
          <w:t xml:space="preserve">Cosmetics</w:t>
        </w:r>
      </w:hyperlink>
      <w:r>
        <w:t xml:space="preserve">, read 16 August 2026.</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makeup/eyeliner" TargetMode="External"/><Relationship Id="rId101" Type="http://schemas.openxmlformats.org/officeDocument/2006/relationships/hyperlink" Target="https://www.agoramores.com/tags/makeup" TargetMode="External"/><Relationship Id="rId102" Type="http://schemas.openxmlformats.org/officeDocument/2006/relationships/hyperlink" Target="https://www.agoramores.com/cosmetics/makeup/lash-primer" TargetMode="External"/><Relationship Id="rId103" Type="http://schemas.openxmlformats.org/officeDocument/2006/relationships/hyperlink" Target="https://www.agoramores.com/cosmetics/makeup/face-powder" TargetMode="External"/><Relationship Id="rId104" Type="http://schemas.openxmlformats.org/officeDocument/2006/relationships/hyperlink" Target="https://www.agoramores.com/cosmetics/makeup/body-paint" TargetMode="External"/><Relationship Id="rId105" Type="http://schemas.openxmlformats.org/officeDocument/2006/relationships/hyperlink" Target="https://www.agoramores.com/cosmetics/makeup/lip-gloss" TargetMode="External"/><Relationship Id="rId106" Type="http://schemas.openxmlformats.org/officeDocument/2006/relationships/hyperlink" Target="https://www.agoramores.com/cosmetics/makeup/eyelash-adhesive" TargetMode="External"/><Relationship Id="rId107" Type="http://schemas.openxmlformats.org/officeDocument/2006/relationships/hyperlink" Target="https://www.agoramores.com/cosmetics/makeup/lipstick" TargetMode="External"/><Relationship Id="rId108" Type="http://schemas.openxmlformats.org/officeDocument/2006/relationships/hyperlink" Target="https://www.agoramores.com/tags/cosmetics" TargetMode="External"/><Relationship Id="rId109" Type="http://schemas.openxmlformats.org/officeDocument/2006/relationships/hyperlink" Target="https://www.agoramores.com/cosmetics/skincare/facial-oil" TargetMode="External"/><Relationship Id="rId110" Type="http://schemas.openxmlformats.org/officeDocument/2006/relationships/hyperlink" Target="https://www.agoramores.com/cosmetics/bath-and-body/bubble-bath" TargetMode="External"/><Relationship Id="rId111" Type="http://schemas.openxmlformats.org/officeDocument/2006/relationships/hyperlink" Target="https://www.agoramores.com/cosmetics/sun-and-tanning/mineral-sunscreen" TargetMode="External"/><Relationship Id="rId112" Type="http://schemas.openxmlformats.org/officeDocument/2006/relationships/hyperlink" Target="https://www.agoramores.com/cosmetics/sun-and-tanning/tanning-accelerator" TargetMode="External"/><Relationship Id="rId113" Type="http://schemas.openxmlformats.org/officeDocument/2006/relationships/hyperlink" Target="https://www.agoramores.com/cosmetics/sun-and-tanning" TargetMode="External"/><Relationship Id="rId114" Type="http://schemas.openxmlformats.org/officeDocument/2006/relationships/hyperlink" Target="https://www.agoramores.com/cosmetics/hair-colour/permanent-hair-dye" TargetMode="External"/><Relationship Id="rId115" Type="http://schemas.openxmlformats.org/officeDocument/2006/relationships/hyperlink" Target="https://www.agoramores.com/cosmetics/makeup/kohl-and-kajal" TargetMode="External"/><Relationship Id="rId116" Type="http://schemas.openxmlformats.org/officeDocument/2006/relationships/hyperlink" Target="https://www.agoramores.com/cosmetics/makeup/kohl-and-kajal" TargetMode="External"/><Relationship Id="rId117" Type="http://schemas.openxmlformats.org/officeDocument/2006/relationships/hyperlink" Target="https://www.agoramores.com/cosmetics/makeup/mascara" TargetMode="External"/><Relationship Id="rId118" Type="http://schemas.openxmlformats.org/officeDocument/2006/relationships/hyperlink" Target="https://www.agoramores.com/cosmetics/makeup/portal" TargetMode="External"/><Relationship Id="rId119" Type="http://schemas.openxmlformats.org/officeDocument/2006/relationships/hyperlink" Target="https://www.agoramores.com/cosmetics/portal" TargetMode="External"/><Relationship Id="rId120" Type="http://schemas.openxmlformats.org/officeDocument/2006/relationships/hyperlink" Target="https://www.agoramores.com/cosmetics/makeup/eyeshadow" TargetMode="External"/><Relationship Id="rId121" Type="http://schemas.openxmlformats.org/officeDocument/2006/relationships/hyperlink" Target="https://www.agoramores.com/cosmetics/makeup/eyeshadow-primer" TargetMode="External"/><Relationship Id="rId122" Type="http://schemas.openxmlformats.org/officeDocument/2006/relationships/hyperlink" Target="https://www.agoramores.com/cosmetics/makeup/kohl-and-kajal" TargetMode="External"/><Relationship Id="rId123" Type="http://schemas.openxmlformats.org/officeDocument/2006/relationships/hyperlink" Target="https://www.agoramores.com/cosmetics/makeup/mascara" TargetMode="External"/><Relationship Id="rId124" Type="http://schemas.openxmlformats.org/officeDocument/2006/relationships/hyperlink" Target="https://www.agoramores.com/cosmetics/makeup/lash-primer" TargetMode="External"/><Relationship Id="rId125" Type="http://schemas.openxmlformats.org/officeDocument/2006/relationships/hyperlink" Target="https://www.agoramores.com/cosmetics/makeup/false-eyelashes" TargetMode="External"/><Relationship Id="rId126" Type="http://schemas.openxmlformats.org/officeDocument/2006/relationships/hyperlink" Target="https://www.agoramores.com/cosmetics/makeup/eyelash-adhesive" TargetMode="External"/><Relationship Id="rId127" Type="http://schemas.openxmlformats.org/officeDocument/2006/relationships/hyperlink" Target="https://www.agoramores.com/cosmetics/makeup/eyelash-serum" TargetMode="External"/><Relationship Id="rId128" Type="http://schemas.openxmlformats.org/officeDocument/2006/relationships/hyperlink" Target="https://www.agoramores.com/cosmetics/makeup/eye-makeup-remover" TargetMode="External"/><Relationship Id="rId129" Type="http://schemas.openxmlformats.org/officeDocument/2006/relationships/hyperlink" Target="https://www.agoramores.com/cosmetics/makeup/eyelash-cleanser" TargetMode="External"/><Relationship Id="rId130" Type="http://schemas.openxmlformats.org/officeDocument/2006/relationships/hyperlink" Target="https://www.agoramores.com/cosmetic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eyeliner</dc:title>
  <dc:creator>Agoramores</dc:creator>
  <cp:keywords>cosmetics, makeup</cp:keywords>
  <dcterms:created xsi:type="dcterms:W3CDTF">2026-08-22T03:37:32Z</dcterms:created>
</cp:coreProperties>
</file>