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eyelash adhesive</w:t>
      </w:r>
    </w:p>
    <w:p>
      <w:pPr>
        <w:pStyle w:val="Subtitle"/>
      </w:pPr>
      <w:hyperlink r:id="rId100">
        <w:r>
          <w:rPr>
            <w:color w:val="1F4E79"/>
            <w:u w:val="single"/>
          </w:rPr>
          <w:t xml:space="preserve">https://www.agoramores.com/cosmetics/makeup/eyelash-adhesive</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lash primer</w:t>
        </w:r>
      </w:hyperlink>
    </w:p>
    <w:p>
      <w:pPr>
        <w:pStyle w:val="ListParagraph"/>
        <w:numPr>
          <w:ilvl w:val="0"/>
          <w:numId w:val="1"/>
        </w:numPr>
      </w:pPr>
      <w:hyperlink r:id="rId103">
        <w:r>
          <w:rPr>
            <w:color w:val="1F4E79"/>
            <w:u w:val="single"/>
          </w:rPr>
          <w:t xml:space="preserve">face powder</w:t>
        </w:r>
      </w:hyperlink>
    </w:p>
    <w:p>
      <w:pPr>
        <w:pStyle w:val="ListParagraph"/>
        <w:numPr>
          <w:ilvl w:val="0"/>
          <w:numId w:val="1"/>
        </w:numPr>
      </w:pPr>
      <w:hyperlink r:id="rId104">
        <w:r>
          <w:rPr>
            <w:color w:val="1F4E79"/>
            <w:u w:val="single"/>
          </w:rPr>
          <w:t xml:space="preserve">body paint</w:t>
        </w:r>
      </w:hyperlink>
    </w:p>
    <w:p>
      <w:pPr>
        <w:pStyle w:val="ListParagraph"/>
        <w:numPr>
          <w:ilvl w:val="0"/>
          <w:numId w:val="1"/>
        </w:numPr>
      </w:pPr>
      <w:hyperlink r:id="rId105">
        <w:r>
          <w:rPr>
            <w:color w:val="1F4E79"/>
            <w:u w:val="single"/>
          </w:rPr>
          <w:t xml:space="preserve">lip gloss</w:t>
        </w:r>
      </w:hyperlink>
    </w:p>
    <w:p>
      <w:pPr>
        <w:pStyle w:val="ListParagraph"/>
        <w:numPr>
          <w:ilvl w:val="0"/>
          <w:numId w:val="1"/>
        </w:numPr>
      </w:pPr>
      <w:hyperlink r:id="rId106">
        <w:r>
          <w:rPr>
            <w:color w:val="1F4E79"/>
            <w:u w:val="single"/>
          </w:rPr>
          <w:t xml:space="preserve">lipstick</w:t>
        </w:r>
      </w:hyperlink>
    </w:p>
    <w:p>
      <w:pPr>
        <w:pStyle w:val="ListParagraph"/>
        <w:numPr>
          <w:ilvl w:val="0"/>
          <w:numId w:val="1"/>
        </w:numPr>
      </w:pPr>
      <w:hyperlink r:id="rId107">
        <w:r>
          <w:rPr>
            <w:color w:val="1F4E79"/>
            <w:u w:val="single"/>
          </w:rPr>
          <w:t xml:space="preserve">lip liner</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facial oil</w:t>
        </w:r>
      </w:hyperlink>
    </w:p>
    <w:p>
      <w:pPr>
        <w:pStyle w:val="ListParagraph"/>
        <w:numPr>
          <w:ilvl w:val="0"/>
          <w:numId w:val="1"/>
        </w:numPr>
      </w:pPr>
      <w:hyperlink r:id="rId110">
        <w:r>
          <w:rPr>
            <w:color w:val="1F4E79"/>
            <w:u w:val="single"/>
          </w:rPr>
          <w:t xml:space="preserve">bubble bath</w:t>
        </w:r>
      </w:hyperlink>
    </w:p>
    <w:p>
      <w:pPr>
        <w:pStyle w:val="ListParagraph"/>
        <w:numPr>
          <w:ilvl w:val="0"/>
          <w:numId w:val="1"/>
        </w:numPr>
      </w:pPr>
      <w:hyperlink r:id="rId111">
        <w:r>
          <w:rPr>
            <w:color w:val="1F4E79"/>
            <w:u w:val="single"/>
          </w:rPr>
          <w:t xml:space="preserve">mineral sunscreen</w:t>
        </w:r>
      </w:hyperlink>
    </w:p>
    <w:p>
      <w:pPr>
        <w:pStyle w:val="ListParagraph"/>
        <w:numPr>
          <w:ilvl w:val="0"/>
          <w:numId w:val="1"/>
        </w:numPr>
      </w:pPr>
      <w:hyperlink r:id="rId112">
        <w:r>
          <w:rPr>
            <w:color w:val="1F4E79"/>
            <w:u w:val="single"/>
          </w:rPr>
          <w:t xml:space="preserve">tanning accelerator</w:t>
        </w:r>
      </w:hyperlink>
    </w:p>
    <w:p>
      <w:pPr>
        <w:pStyle w:val="ListParagraph"/>
        <w:numPr>
          <w:ilvl w:val="0"/>
          <w:numId w:val="1"/>
        </w:numPr>
      </w:pPr>
      <w:hyperlink r:id="rId113">
        <w:r>
          <w:rPr>
            <w:color w:val="1F4E79"/>
            <w:u w:val="single"/>
          </w:rPr>
          <w:t xml:space="preserve">sun and tanning</w:t>
        </w:r>
      </w:hyperlink>
    </w:p>
    <w:p>
      <w:pPr>
        <w:pStyle w:val="ListParagraph"/>
        <w:numPr>
          <w:ilvl w:val="0"/>
          <w:numId w:val="1"/>
        </w:numPr>
      </w:pPr>
      <w:hyperlink r:id="rId114">
        <w:r>
          <w:rPr>
            <w:color w:val="1F4E79"/>
            <w:u w:val="single"/>
          </w:rPr>
          <w:t xml:space="preserve">permanent hair dye</w:t>
        </w:r>
      </w:hyperlink>
    </w:p>
    <w:p>
      <w:pPr>
        <w:pStyle w:val="Heading1"/>
      </w:pPr>
      <w:r>
        <w:t xml:space="preserve">Eyelash Adhesive</w:t>
      </w:r>
    </w:p>
    <w:p>
      <w:r>
        <w:t xml:space="preserve">The glue that holds </w:t>
      </w:r>
      <w:hyperlink r:id="rId115">
        <w:r>
          <w:rPr>
            <w:color w:val="1F4E79"/>
            <w:u w:val="single"/>
          </w:rPr>
          <w:t xml:space="preserve">False Eyelashes</w:t>
        </w:r>
      </w:hyperlink>
      <w:r>
        <w:t xml:space="preserve"> on. It is the
most chemically active product applied near the eye, it is the source of nearly every
adverse event in the lash category, and it comes in two entirely different chemistries
that are constantly confused.</w:t>
      </w:r>
    </w:p>
    <w:p>
      <w:pPr>
        <w:pStyle w:val="Heading2"/>
      </w:pPr>
      <w:r>
        <w:t xml:space="preserve">The two chemistries</w:t>
      </w:r>
    </w:p>
    <w:tbl>
      <w:tblPr>
        <w:tblStyle w:val="TableGrid"/>
        <w:tblW w:w="0" w:type="auto"/>
      </w:tblPr>
      <w:tblGrid>
        <w:gridCol w:w="2400"/>
        <w:gridCol w:w="2400"/>
        <w:gridCol w:w="2400"/>
      </w:tblGrid>
      <w:tr>
        <w:trPr>
          <w:tblHeader/>
        </w:trPr>
        <w:tc>
          <w:tcPr>
            <w:tcW w:w="2400" w:type="dxa"/>
          </w:tcPr>
          <w:p>
            <w:pPr>
              <w:pStyle w:val="TableText"/>
            </w:pPr>
          </w:p>
        </w:tc>
        <w:tc>
          <w:tcPr>
            <w:tcW w:w="2400" w:type="dxa"/>
          </w:tcPr>
          <w:p>
            <w:pPr>
              <w:pStyle w:val="TableText"/>
            </w:pPr>
            <w:r>
              <w:rPr>
                <w:b/>
              </w:rPr>
              <w:t xml:space="preserve">Strip lash adhesive</w:t>
            </w:r>
          </w:p>
        </w:tc>
        <w:tc>
          <w:tcPr>
            <w:tcW w:w="2400" w:type="dxa"/>
          </w:tcPr>
          <w:p>
            <w:pPr>
              <w:pStyle w:val="TableText"/>
            </w:pPr>
            <w:r>
              <w:rPr>
                <w:b/>
              </w:rPr>
              <w:t xml:space="preserve">Extension adhesive</w:t>
            </w:r>
          </w:p>
        </w:tc>
      </w:tr>
      <w:tr>
        <w:tc>
          <w:tcPr>
            <w:tcW w:w="2400" w:type="dxa"/>
          </w:tcPr>
          <w:p>
            <w:pPr>
              <w:pStyle w:val="TableText"/>
            </w:pPr>
            <w:r>
              <w:rPr>
                <w:b/>
              </w:rPr>
              <w:t xml:space="preserve">Base</w:t>
            </w:r>
          </w:p>
        </w:tc>
        <w:tc>
          <w:tcPr>
            <w:tcW w:w="2400" w:type="dxa"/>
          </w:tcPr>
          <w:p>
            <w:pPr>
              <w:pStyle w:val="TableText"/>
            </w:pPr>
            <w:r>
              <w:t xml:space="preserve">Latex or acrylate polymer emulsion in water</w:t>
            </w:r>
          </w:p>
        </w:tc>
        <w:tc>
          <w:tcPr>
            <w:tcW w:w="2400" w:type="dxa"/>
          </w:tcPr>
          <w:p>
            <w:pPr>
              <w:pStyle w:val="TableText"/>
            </w:pPr>
            <w:r>
              <w:rPr>
                <w:b/>
              </w:rPr>
              <w:t xml:space="preserve">Cyanoacrylate</w:t>
            </w:r>
            <w:r>
              <w:t xml:space="preserve"> — the same family as superglue</w:t>
            </w:r>
          </w:p>
        </w:tc>
      </w:tr>
      <w:tr>
        <w:tc>
          <w:tcPr>
            <w:tcW w:w="2400" w:type="dxa"/>
          </w:tcPr>
          <w:p>
            <w:pPr>
              <w:pStyle w:val="TableText"/>
            </w:pPr>
            <w:r>
              <w:rPr>
                <w:b/>
              </w:rPr>
              <w:t xml:space="preserve">Sets in</w:t>
            </w:r>
          </w:p>
        </w:tc>
        <w:tc>
          <w:tcPr>
            <w:tcW w:w="2400" w:type="dxa"/>
          </w:tcPr>
          <w:p>
            <w:pPr>
              <w:pStyle w:val="TableText"/>
            </w:pPr>
            <w:r>
              <w:t xml:space="preserve">30–60 seconds, by evaporation</w:t>
            </w:r>
          </w:p>
        </w:tc>
        <w:tc>
          <w:tcPr>
            <w:tcW w:w="2400" w:type="dxa"/>
          </w:tcPr>
          <w:p>
            <w:pPr>
              <w:pStyle w:val="TableText"/>
            </w:pPr>
            <w:r>
              <w:t xml:space="preserve">1–3 seconds, by polymerising on contact with moisture</w:t>
            </w:r>
          </w:p>
        </w:tc>
      </w:tr>
      <w:tr>
        <w:tc>
          <w:tcPr>
            <w:tcW w:w="2400" w:type="dxa"/>
          </w:tcPr>
          <w:p>
            <w:pPr>
              <w:pStyle w:val="TableText"/>
            </w:pPr>
            <w:r>
              <w:rPr>
                <w:b/>
              </w:rPr>
              <w:t xml:space="preserve">Holds for</w:t>
            </w:r>
          </w:p>
        </w:tc>
        <w:tc>
          <w:tcPr>
            <w:tcW w:w="2400" w:type="dxa"/>
          </w:tcPr>
          <w:p>
            <w:pPr>
              <w:pStyle w:val="TableText"/>
            </w:pPr>
            <w:r>
              <w:t xml:space="preserve">A day</w:t>
            </w:r>
          </w:p>
        </w:tc>
        <w:tc>
          <w:tcPr>
            <w:tcW w:w="2400" w:type="dxa"/>
          </w:tcPr>
          <w:p>
            <w:pPr>
              <w:pStyle w:val="TableText"/>
            </w:pPr>
            <w:r>
              <w:t xml:space="preserve">2–4 weeks</w:t>
            </w:r>
          </w:p>
        </w:tc>
      </w:tr>
      <w:tr>
        <w:tc>
          <w:tcPr>
            <w:tcW w:w="2400" w:type="dxa"/>
          </w:tcPr>
          <w:p>
            <w:pPr>
              <w:pStyle w:val="TableText"/>
            </w:pPr>
            <w:r>
              <w:rPr>
                <w:b/>
              </w:rPr>
              <w:t xml:space="preserve">Used by</w:t>
            </w:r>
          </w:p>
        </w:tc>
        <w:tc>
          <w:tcPr>
            <w:tcW w:w="2400" w:type="dxa"/>
          </w:tcPr>
          <w:p>
            <w:pPr>
              <w:pStyle w:val="TableText"/>
            </w:pPr>
            <w:r>
              <w:t xml:space="preserve">Anyone</w:t>
            </w:r>
          </w:p>
        </w:tc>
        <w:tc>
          <w:tcPr>
            <w:tcW w:w="2400" w:type="dxa"/>
          </w:tcPr>
          <w:p>
            <w:pPr>
              <w:pStyle w:val="TableText"/>
            </w:pPr>
            <w:r>
              <w:rPr>
                <w:b/>
              </w:rPr>
              <w:t xml:space="preserve">Professionals only</w:t>
            </w:r>
          </w:p>
        </w:tc>
      </w:tr>
      <w:tr>
        <w:tc>
          <w:tcPr>
            <w:tcW w:w="2400" w:type="dxa"/>
          </w:tcPr>
          <w:p>
            <w:pPr>
              <w:pStyle w:val="TableText"/>
            </w:pPr>
            <w:r>
              <w:rPr>
                <w:b/>
              </w:rPr>
              <w:t xml:space="preserve">Removed with</w:t>
            </w:r>
          </w:p>
        </w:tc>
        <w:tc>
          <w:tcPr>
            <w:tcW w:w="2400" w:type="dxa"/>
          </w:tcPr>
          <w:p>
            <w:pPr>
              <w:pStyle w:val="TableText"/>
            </w:pPr>
            <w:r>
              <w:t xml:space="preserve">Oil, or peeling gently after soaking</w:t>
            </w:r>
          </w:p>
        </w:tc>
        <w:tc>
          <w:tcPr>
            <w:tcW w:w="2400" w:type="dxa"/>
          </w:tcPr>
          <w:p>
            <w:pPr>
              <w:pStyle w:val="TableText"/>
            </w:pPr>
            <w:r>
              <w:t xml:space="preserve">A dedicated solvent remover</w:t>
            </w:r>
          </w:p>
        </w:tc>
      </w:tr>
    </w:tbl>
    <w:p/>
    <w:p>
      <w:r>
        <w:rPr>
          <w:b/>
        </w:rPr>
        <w:t xml:space="preserve">These are not interchangeable, and the difference matters medically.</w:t>
      </w:r>
      <w:r>
        <w:t xml:space="preserve"> Professional
extension adhesive cures in seconds against the moisture on the skin. Used by an
untrained hand, on a moving eye, it can bond the lids together or reach the cornea. The
consumer-grade version is deliberately slow so there is time to reposition.</w:t>
      </w:r>
    </w:p>
    <w:p>
      <w:pPr>
        <w:pStyle w:val="Heading2"/>
      </w:pPr>
      <w:r>
        <w:t xml:space="preserve">The known reactions</w:t>
      </w:r>
    </w:p>
    <w:p>
      <w:pPr>
        <w:pStyle w:val="ListParagraph"/>
        <w:numPr>
          <w:ilvl w:val="0"/>
          <w:numId w:val="1"/>
        </w:numPr>
      </w:pPr>
      <w:r>
        <w:rPr>
          <w:b/>
        </w:rPr>
        <w:t xml:space="preserve">Cyanoacrylate allergy.</w:t>
      </w:r>
      <w:r>
        <w:t xml:space="preserve"> The dominant problem in extensions. It is a </w:t>
      </w:r>
      <w:r>
        <w:rPr>
          <w:b/>
        </w:rPr>
        <w:t xml:space="preserve">type IV
delayed hypersensitivity</w:t>
      </w:r>
      <w:r>
        <w:t xml:space="preserve">, which means it develops with exposure — someone can wear
extensions comfortably for years and then react. Swelling, itching and weeping lids,
24–48 hours after a fill.</w:t>
      </w:r>
    </w:p>
    <w:p>
      <w:pPr>
        <w:pStyle w:val="ListParagraph"/>
        <w:numPr>
          <w:ilvl w:val="0"/>
          <w:numId w:val="1"/>
        </w:numPr>
      </w:pPr>
      <w:r>
        <w:rPr>
          <w:b/>
        </w:rPr>
        <w:t xml:space="preserve">Formaldehyde.</w:t>
      </w:r>
      <w:r>
        <w:t xml:space="preserve"> Cyanoacrylate adhesives can release formaldehyde as they cure and
as they degrade. Salon adhesives marketed as "formaldehyde-free" generally mean no
formaldehyde was added as an ingredient, which is not the same as none being present
— that is a real distinction and worth asking about.</w:t>
      </w:r>
    </w:p>
    <w:p>
      <w:pPr>
        <w:pStyle w:val="ListParagraph"/>
        <w:numPr>
          <w:ilvl w:val="0"/>
          <w:numId w:val="1"/>
        </w:numPr>
      </w:pPr>
      <w:r>
        <w:rPr>
          <w:b/>
        </w:rPr>
        <w:t xml:space="preserve">Latex allergy.</w:t>
      </w:r>
      <w:r>
        <w:t xml:space="preserve"> Some strip adhesives are latex-based. Anyone with a natural rubber
latex allergy needs a latex-free one, and it must be checked rather than assumed.</w:t>
      </w:r>
    </w:p>
    <w:p>
      <w:pPr>
        <w:pStyle w:val="ListParagraph"/>
        <w:numPr>
          <w:ilvl w:val="0"/>
          <w:numId w:val="1"/>
        </w:numPr>
      </w:pPr>
      <w:r>
        <w:rPr>
          <w:b/>
        </w:rPr>
        <w:t xml:space="preserve">Chemical injury to the cornea</w:t>
      </w:r>
      <w:r>
        <w:t xml:space="preserve"> from adhesive entering the eye. This is an
emergency: flush with water and get to an eye clinician; do not rub, and do not try
to pull the lids apart.</w:t>
      </w:r>
    </w:p>
    <w:p>
      <w:pPr>
        <w:pStyle w:val="ListParagraph"/>
        <w:numPr>
          <w:ilvl w:val="0"/>
          <w:numId w:val="1"/>
        </w:numPr>
      </w:pPr>
      <w:r>
        <w:rPr>
          <w:b/>
        </w:rPr>
        <w:t xml:space="preserve">Carbon black</w:t>
      </w:r>
      <w:r>
        <w:t xml:space="preserve"> is used to make the dark adhesives, and its approved uses in
cosmetics are use-specific.</w:t>
      </w:r>
    </w:p>
    <w:p>
      <w:pPr>
        <w:pStyle w:val="Heading2"/>
      </w:pPr>
      <w:r>
        <w:t xml:space="preserve">Using strip adhesive safely</w:t>
      </w:r>
    </w:p>
    <w:p>
      <w:pPr>
        <w:pStyle w:val="ListParagraph"/>
        <w:numPr>
          <w:ilvl w:val="0"/>
          <w:numId w:val="2"/>
        </w:numPr>
      </w:pPr>
      <w:r>
        <w:rPr>
          <w:b/>
        </w:rPr>
        <w:t xml:space="preserve">Patch test</w:t>
      </w:r>
      <w:r>
        <w:t xml:space="preserve"> on the inner arm 24–48 hours before first use of a new adhesive.</w:t>
      </w:r>
    </w:p>
    <w:p>
      <w:pPr>
        <w:pStyle w:val="ListParagraph"/>
        <w:numPr>
          <w:ilvl w:val="0"/>
          <w:numId w:val="2"/>
        </w:numPr>
      </w:pPr>
      <w:r>
        <w:rPr>
          <w:b/>
        </w:rPr>
        <w:t xml:space="preserve">Glue on the band, never near the eye.</w:t>
      </w:r>
    </w:p>
    <w:p>
      <w:pPr>
        <w:pStyle w:val="ListParagraph"/>
        <w:numPr>
          <w:ilvl w:val="0"/>
          <w:numId w:val="2"/>
        </w:numPr>
      </w:pPr>
      <w:r>
        <w:rPr>
          <w:b/>
        </w:rPr>
        <w:t xml:space="preserve">Wait until tacky</w:t>
      </w:r>
      <w:r>
        <w:t xml:space="preserve"> — around 30 seconds. This is the single most common error;
wet glue slides and ends up where it should not.</w:t>
      </w:r>
    </w:p>
    <w:p>
      <w:pPr>
        <w:pStyle w:val="ListParagraph"/>
        <w:numPr>
          <w:ilvl w:val="0"/>
          <w:numId w:val="2"/>
        </w:numPr>
      </w:pPr>
      <w:r>
        <w:rPr>
          <w:b/>
        </w:rPr>
        <w:t xml:space="preserve">Place above the lash line</w:t>
      </w:r>
      <w:r>
        <w:t xml:space="preserve">, not on the waterline.</w:t>
      </w:r>
    </w:p>
    <w:p>
      <w:pPr>
        <w:pStyle w:val="ListParagraph"/>
        <w:numPr>
          <w:ilvl w:val="0"/>
          <w:numId w:val="2"/>
        </w:numPr>
      </w:pPr>
      <w:r>
        <w:rPr>
          <w:b/>
        </w:rPr>
        <w:t xml:space="preserve">Ventilate.</w:t>
      </w:r>
      <w:r>
        <w:t xml:space="preserve"> Cyanoacrylate vapour irritates eyes and airways, which is why salons
use extraction and why the technician's eyes water too.</w:t>
      </w:r>
    </w:p>
    <w:p>
      <w:pPr>
        <w:pStyle w:val="ListParagraph"/>
        <w:numPr>
          <w:ilvl w:val="0"/>
          <w:numId w:val="2"/>
        </w:numPr>
      </w:pPr>
      <w:r>
        <w:rPr>
          <w:b/>
        </w:rPr>
        <w:t xml:space="preserve">Remove with oil</w:t>
      </w:r>
      <w:r>
        <w:t xml:space="preserve">, soaked and held for twenty seconds. Never pull dry.</w:t>
      </w:r>
    </w:p>
    <w:p>
      <w:pPr>
        <w:pStyle w:val="Heading2"/>
      </w:pPr>
      <w:r>
        <w:t xml:space="preserve">Where it sits in the rules</w:t>
      </w:r>
    </w:p>
    <w:p>
      <w:r>
        <w:rPr>
          <w:b/>
        </w:rPr>
        <w:t xml:space="preserve">Cosmetic</w:t>
      </w:r>
      <w:r>
        <w:t xml:space="preserve"> in the US — FDA primary category </w:t>
      </w:r>
      <w:r>
        <w:rPr>
          <w:b/>
        </w:rPr>
        <w:t xml:space="preserve">(03) eye makeup preparations</w:t>
      </w:r>
      <w:r>
        <w:t xml:space="preserve">. FDA
does </w:t>
      </w:r>
      <w:r>
        <w:rPr>
          <w:b/>
        </w:rPr>
        <w:t xml:space="preserve">not approve</w:t>
      </w:r>
      <w:r>
        <w:t xml:space="preserve"> eyelash adhesives before sale; as with all cosmetics other than
colour additives, there is no premarket approval, and the manufacturer carries the
responsibility for safety.</w:t>
      </w:r>
    </w:p>
    <w:p>
      <w:r>
        <w:t xml:space="preserve">What does exist:</w:t>
      </w:r>
    </w:p>
    <w:p>
      <w:pPr>
        <w:pStyle w:val="ListParagraph"/>
        <w:numPr>
          <w:ilvl w:val="0"/>
          <w:numId w:val="1"/>
        </w:numPr>
      </w:pPr>
      <w:r>
        <w:rPr>
          <w:b/>
        </w:rPr>
        <w:t xml:space="preserve">Colour additives</w:t>
      </w:r>
      <w:r>
        <w:t xml:space="preserve"> in tinted adhesives must be approved for eye-area use.</w:t>
      </w:r>
    </w:p>
    <w:p>
      <w:pPr>
        <w:pStyle w:val="ListParagraph"/>
        <w:numPr>
          <w:ilvl w:val="0"/>
          <w:numId w:val="1"/>
        </w:numPr>
      </w:pPr>
      <w:r>
        <w:t xml:space="preserve">Under MoCRA, the </w:t>
      </w:r>
      <w:r>
        <w:rPr>
          <w:b/>
        </w:rPr>
        <w:t xml:space="preserve">small-business exemption from registration and listing does not
apply</w:t>
      </w:r>
      <w:r>
        <w:t xml:space="preserve"> to products that regularly contact the mucous membrane of the eye, and
</w:t>
      </w:r>
      <w:r>
        <w:rPr>
          <w:b/>
        </w:rPr>
        <w:t xml:space="preserve">serious adverse events are reportable to FDA within 15 business days</w:t>
      </w:r>
      <w:r>
        <w:t xml:space="preserve"> — which is
the mechanism by which adhesive injuries now become visible to the agency.</w:t>
      </w:r>
    </w:p>
    <w:p>
      <w:pPr>
        <w:pStyle w:val="ListParagraph"/>
        <w:numPr>
          <w:ilvl w:val="0"/>
          <w:numId w:val="1"/>
        </w:numPr>
      </w:pPr>
      <w:r>
        <w:rPr>
          <w:b/>
        </w:rPr>
        <w:t xml:space="preserve">Lash extension application is licensed at state level</w:t>
      </w:r>
      <w:r>
        <w:t xml:space="preserve"> in most US states through
cosmetology boards, with sanitation and training requirements. That is the practical
regulation of extension adhesive, and it is not federal.</w:t>
      </w:r>
    </w:p>
    <w:p>
      <w:pPr>
        <w:pStyle w:val="Heading2"/>
      </w:pPr>
      <w:r>
        <w:t xml:space="preserve">Shelf life</w:t>
      </w:r>
    </w:p>
    <w:p>
      <w:r>
        <w:rPr>
          <w:b/>
        </w:rPr>
        <w:t xml:space="preserve">Short, and shorter than people assume.</w:t>
      </w:r>
      <w:r>
        <w:t xml:space="preserve"> Cyanoacrylate adhesives degrade once opened
— typically </w:t>
      </w:r>
      <w:r>
        <w:rPr>
          <w:b/>
        </w:rPr>
        <w:t xml:space="preserve">4–8 weeks</w:t>
      </w:r>
      <w:r>
        <w:t xml:space="preserve"> for a professional adhesive, and salons date their bottles for
this reason. Strip adhesives last a few months and thicken as the water evaporates.</w:t>
      </w:r>
    </w:p>
    <w:p>
      <w:r>
        <w:t xml:space="preserve">Heat and humidity accelerate both. Store upright, cool, tightly closed, and discard any
adhesive that has thickened, gone stringy or changed colour — a degraded adhesive both
performs worse and releases more.</w:t>
      </w:r>
    </w:p>
    <w:p>
      <w:pPr>
        <w:pStyle w:val="Heading2"/>
      </w:pPr>
      <w:r>
        <w:t xml:space="preserve">Related</w:t>
      </w:r>
    </w:p>
    <w:p>
      <w:pPr>
        <w:pStyle w:val="ListParagraph"/>
        <w:numPr>
          <w:ilvl w:val="0"/>
          <w:numId w:val="1"/>
        </w:numPr>
      </w:pPr>
      <w:hyperlink r:id="rId116">
        <w:r>
          <w:rPr>
            <w:color w:val="1F4E79"/>
            <w:u w:val="single"/>
          </w:rPr>
          <w:t xml:space="preserve">Makeup</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Eyes</w:t>
      </w:r>
      <w:r>
        <w:t xml:space="preserve"> — </w:t>
      </w:r>
      <w:hyperlink r:id="rId118">
        <w:r>
          <w:rPr>
            <w:color w:val="1F4E79"/>
            <w:u w:val="single"/>
          </w:rPr>
          <w:t xml:space="preserve">Eyeshadow</w:t>
        </w:r>
      </w:hyperlink>
      <w:r>
        <w:t xml:space="preserve"> · </w:t>
      </w:r>
      <w:hyperlink r:id="rId119">
        <w:r>
          <w:rPr>
            <w:color w:val="1F4E79"/>
            <w:u w:val="single"/>
          </w:rPr>
          <w:t xml:space="preserve">Eyeshadow Primer</w:t>
        </w:r>
      </w:hyperlink>
      <w:r>
        <w:t xml:space="preserve"> · </w:t>
      </w:r>
      <w:hyperlink r:id="rId120">
        <w:r>
          <w:rPr>
            <w:color w:val="1F4E79"/>
            <w:u w:val="single"/>
          </w:rPr>
          <w:t xml:space="preserve">Eyeliner</w:t>
        </w:r>
      </w:hyperlink>
      <w:r>
        <w:t xml:space="preserve"> · </w:t>
      </w:r>
      <w:hyperlink r:id="rId121">
        <w:r>
          <w:rPr>
            <w:color w:val="1F4E79"/>
            <w:u w:val="single"/>
          </w:rPr>
          <w:t xml:space="preserve">Kohl and Kajal</w:t>
        </w:r>
      </w:hyperlink>
      <w:r>
        <w:t xml:space="preserve"> · </w:t>
      </w:r>
      <w:hyperlink r:id="rId122">
        <w:r>
          <w:rPr>
            <w:color w:val="1F4E79"/>
            <w:u w:val="single"/>
          </w:rPr>
          <w:t xml:space="preserve">Mascara</w:t>
        </w:r>
      </w:hyperlink>
      <w:r>
        <w:t xml:space="preserve"> · </w:t>
      </w:r>
      <w:hyperlink r:id="rId123">
        <w:r>
          <w:rPr>
            <w:color w:val="1F4E79"/>
            <w:u w:val="single"/>
          </w:rPr>
          <w:t xml:space="preserve">Lash Primer</w:t>
        </w:r>
      </w:hyperlink>
      <w:r>
        <w:t xml:space="preserve"> · </w:t>
      </w:r>
      <w:hyperlink r:id="rId124">
        <w:r>
          <w:rPr>
            <w:color w:val="1F4E79"/>
            <w:u w:val="single"/>
          </w:rPr>
          <w:t xml:space="preserve">False Eyelashes</w:t>
        </w:r>
      </w:hyperlink>
      <w:r>
        <w:t xml:space="preserve"> · </w:t>
      </w:r>
      <w:hyperlink r:id="rId125">
        <w:r>
          <w:rPr>
            <w:color w:val="1F4E79"/>
            <w:u w:val="single"/>
          </w:rPr>
          <w:t xml:space="preserve">Eyelash Serum</w:t>
        </w:r>
      </w:hyperlink>
      <w:r>
        <w:t xml:space="preserve"> · </w:t>
      </w:r>
      <w:hyperlink r:id="rId126">
        <w:r>
          <w:rPr>
            <w:color w:val="1F4E79"/>
            <w:u w:val="single"/>
          </w:rPr>
          <w:t xml:space="preserve">Eye Makeup Remover</w:t>
        </w:r>
      </w:hyperlink>
      <w:r>
        <w:t xml:space="preserve"> · </w:t>
      </w:r>
      <w:hyperlink r:id="rId127">
        <w:r>
          <w:rPr>
            <w:color w:val="1F4E79"/>
            <w:u w:val="single"/>
          </w:rPr>
          <w:t xml:space="preserve">Eyelash Cleanser</w:t>
        </w:r>
      </w:hyperlink>
      <w:r>
        <w:t xml:space="preserve">.</w:t>
      </w:r>
    </w:p>
    <w:p>
      <w:pPr>
        <w:pStyle w:val="ListParagraph"/>
        <w:numPr>
          <w:ilvl w:val="0"/>
          <w:numId w:val="1"/>
        </w:numPr>
      </w:pPr>
      <w:hyperlink r:id="rId128">
        <w:r>
          <w:rPr>
            <w:color w:val="1F4E79"/>
            <w:u w:val="single"/>
          </w:rPr>
          <w:t xml:space="preserve">Nail Glue</w:t>
        </w:r>
      </w:hyperlink>
      <w:r>
        <w:t xml:space="preserve"> — the same cyanoacrylate chemistry, a less delicate target.</w:t>
      </w:r>
    </w:p>
    <w:p>
      <w:pPr>
        <w:pStyle w:val="ListParagraph"/>
        <w:numPr>
          <w:ilvl w:val="0"/>
          <w:numId w:val="1"/>
        </w:numPr>
      </w:pPr>
      <w:r>
        <w:t xml:space="preserve">Regulatory statements here follow the FDA and EU sources listed on </w:t>
      </w:r>
      <w:hyperlink r:id="rId129">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eyelash-adhesive"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lash-primer" TargetMode="External"/><Relationship Id="rId103" Type="http://schemas.openxmlformats.org/officeDocument/2006/relationships/hyperlink" Target="https://www.agoramores.com/cosmetics/makeup/face-powder" TargetMode="External"/><Relationship Id="rId104" Type="http://schemas.openxmlformats.org/officeDocument/2006/relationships/hyperlink" Target="https://www.agoramores.com/cosmetics/makeup/body-paint" TargetMode="External"/><Relationship Id="rId105" Type="http://schemas.openxmlformats.org/officeDocument/2006/relationships/hyperlink" Target="https://www.agoramores.com/cosmetics/makeup/lip-gloss" TargetMode="External"/><Relationship Id="rId106" Type="http://schemas.openxmlformats.org/officeDocument/2006/relationships/hyperlink" Target="https://www.agoramores.com/cosmetics/makeup/lipstick" TargetMode="External"/><Relationship Id="rId107" Type="http://schemas.openxmlformats.org/officeDocument/2006/relationships/hyperlink" Target="https://www.agoramores.com/cosmetics/makeup/lip-liner"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skincare/facial-oil" TargetMode="External"/><Relationship Id="rId110" Type="http://schemas.openxmlformats.org/officeDocument/2006/relationships/hyperlink" Target="https://www.agoramores.com/cosmetics/bath-and-body/bubble-bath" TargetMode="External"/><Relationship Id="rId111" Type="http://schemas.openxmlformats.org/officeDocument/2006/relationships/hyperlink" Target="https://www.agoramores.com/cosmetics/sun-and-tanning/mineral-sunscreen" TargetMode="External"/><Relationship Id="rId112" Type="http://schemas.openxmlformats.org/officeDocument/2006/relationships/hyperlink" Target="https://www.agoramores.com/cosmetics/sun-and-tanning/tanning-accelerator" TargetMode="External"/><Relationship Id="rId113" Type="http://schemas.openxmlformats.org/officeDocument/2006/relationships/hyperlink" Target="https://www.agoramores.com/cosmetics/sun-and-tanning" TargetMode="External"/><Relationship Id="rId114" Type="http://schemas.openxmlformats.org/officeDocument/2006/relationships/hyperlink" Target="https://www.agoramores.com/cosmetics/hair-colour/permanent-hair-dye" TargetMode="External"/><Relationship Id="rId115" Type="http://schemas.openxmlformats.org/officeDocument/2006/relationships/hyperlink" Target="https://www.agoramores.com/cosmetics/makeup/false-eyelashes" TargetMode="External"/><Relationship Id="rId116" Type="http://schemas.openxmlformats.org/officeDocument/2006/relationships/hyperlink" Target="https://www.agoramores.com/cosmetics/makeup/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makeup/eyeshadow" TargetMode="External"/><Relationship Id="rId119" Type="http://schemas.openxmlformats.org/officeDocument/2006/relationships/hyperlink" Target="https://www.agoramores.com/cosmetics/makeup/eyeshadow-primer" TargetMode="External"/><Relationship Id="rId120" Type="http://schemas.openxmlformats.org/officeDocument/2006/relationships/hyperlink" Target="https://www.agoramores.com/cosmetics/makeup/eyeliner" TargetMode="External"/><Relationship Id="rId121" Type="http://schemas.openxmlformats.org/officeDocument/2006/relationships/hyperlink" Target="https://www.agoramores.com/cosmetics/makeup/kohl-and-kajal" TargetMode="External"/><Relationship Id="rId122" Type="http://schemas.openxmlformats.org/officeDocument/2006/relationships/hyperlink" Target="https://www.agoramores.com/cosmetics/makeup/mascara" TargetMode="External"/><Relationship Id="rId123" Type="http://schemas.openxmlformats.org/officeDocument/2006/relationships/hyperlink" Target="https://www.agoramores.com/cosmetics/makeup/lash-primer" TargetMode="External"/><Relationship Id="rId124" Type="http://schemas.openxmlformats.org/officeDocument/2006/relationships/hyperlink" Target="https://www.agoramores.com/cosmetics/makeup/false-eyelashes" TargetMode="External"/><Relationship Id="rId125" Type="http://schemas.openxmlformats.org/officeDocument/2006/relationships/hyperlink" Target="https://www.agoramores.com/cosmetics/makeup/eyelash-serum" TargetMode="External"/><Relationship Id="rId126" Type="http://schemas.openxmlformats.org/officeDocument/2006/relationships/hyperlink" Target="https://www.agoramores.com/cosmetics/makeup/eye-makeup-remover" TargetMode="External"/><Relationship Id="rId127" Type="http://schemas.openxmlformats.org/officeDocument/2006/relationships/hyperlink" Target="https://www.agoramores.com/cosmetics/makeup/eyelash-cleanser" TargetMode="External"/><Relationship Id="rId128" Type="http://schemas.openxmlformats.org/officeDocument/2006/relationships/hyperlink" Target="https://www.agoramores.com/cosmetics/nails/nail-glue" TargetMode="External"/><Relationship Id="rId129"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eyelash adhesive</dc:title>
  <dc:creator>Agoramores</dc:creator>
  <cp:keywords>cosmetics, makeup</cp:keywords>
  <dcterms:created xsi:type="dcterms:W3CDTF">2026-08-22T04:17:22Z</dcterms:created>
</cp:coreProperties>
</file>