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holidays</w:t>
      </w:r>
    </w:p>
    <w:p>
      <w:pPr>
        <w:pStyle w:val="Subtitle"/>
      </w:pPr>
      <w:hyperlink r:id="rId100">
        <w:r>
          <w:rPr>
            <w:color w:val="1F4E79"/>
            <w:u w:val="single"/>
          </w:rPr>
          <w:t xml:space="preserve">https://www.agoramores.com/calendar/holidays</w:t>
        </w:r>
      </w:hyperlink>
    </w:p>
    <w:p>
      <w:pPr>
        <w:pStyle w:val="Subtitle"/>
      </w:pPr>
      <w:r>
        <w:t xml:space="preserve">Tags: calendar · holidays · holiday · leisure</w:t>
      </w:r>
    </w:p>
    <w:p>
      <w:pPr>
        <w:pBdr>
          <w:bottom w:val="single" w:sz="6" w:space="1" w:color="808080"/>
        </w:pBdr>
      </w:pPr>
    </w:p>
    <w:p>
      <w:pPr>
        <w:pStyle w:val="Heading1"/>
      </w:pPr>
      <w:r>
        <w:t xml:space="preserve">Holidays</w:t>
      </w:r>
    </w:p>
    <w:p>
      <w:r>
        <w:t xml:space="preserve">The dated pages in this folder are the holiday layer of the site calendar. They are ordinary calendar entries — same frontmatter, same feeds — but they carry </w:t>
      </w:r>
      <w:r>
        <w:rPr>
          <w:rFonts w:ascii="Consolas" w:hAnsi="Consolas"/>
          <w:sz w:val="19"/>
        </w:rPr>
        <w:t xml:space="preserve">category: holiday</w:t>
      </w:r>
      <w:r>
        <w:t xml:space="preserve">, which is what lets a page show holidays without showing every trail run and cook-along.</w:t>
      </w:r>
    </w:p>
    <w:p>
      <w:pPr>
        <w:pStyle w:val="Heading2"/>
      </w:pPr>
      <w:r>
        <w:t xml:space="preserve">What is in here</w:t>
      </w:r>
    </w:p>
    <w:p>
      <w:r>
        <w:t xml:space="preserve">Both 2026 and 2027 are covered, across six groups.</w:t>
      </w:r>
    </w:p>
    <w:tbl>
      <w:tblPr>
        <w:tblStyle w:val="TableGrid"/>
        <w:tblW w:w="0" w:type="auto"/>
      </w:tblPr>
      <w:tblGrid>
        <w:gridCol w:w="2400"/>
        <w:gridCol w:w="2400"/>
        <w:gridCol w:w="2400"/>
      </w:tblGrid>
      <w:tr>
        <w:trPr>
          <w:tblHeader/>
        </w:trPr>
        <w:tc>
          <w:tcPr>
            <w:tcW w:w="2400" w:type="dxa"/>
          </w:tcPr>
          <w:p>
            <w:pPr>
              <w:pStyle w:val="TableText"/>
            </w:pPr>
            <w:r>
              <w:rPr>
                <w:b/>
              </w:rPr>
              <w:t xml:space="preserve">Group</w:t>
            </w:r>
          </w:p>
        </w:tc>
        <w:tc>
          <w:tcPr>
            <w:tcW w:w="2400" w:type="dxa"/>
          </w:tcPr>
          <w:p>
            <w:pPr>
              <w:pStyle w:val="TableText"/>
            </w:pPr>
            <w:r>
              <w:rPr>
                <w:b/>
              </w:rPr>
              <w:t xml:space="preserve">Tag</w:t>
            </w:r>
          </w:p>
        </w:tc>
        <w:tc>
          <w:tcPr>
            <w:tcW w:w="2400" w:type="dxa"/>
          </w:tcPr>
          <w:p>
            <w:pPr>
              <w:pStyle w:val="TableText"/>
            </w:pPr>
            <w:r>
              <w:rPr>
                <w:b/>
              </w:rPr>
              <w:t xml:space="preserve">Examples</w:t>
            </w:r>
          </w:p>
        </w:tc>
      </w:tr>
      <w:tr>
        <w:tc>
          <w:tcPr>
            <w:tcW w:w="2400" w:type="dxa"/>
          </w:tcPr>
          <w:p>
            <w:pPr>
              <w:pStyle w:val="TableText"/>
            </w:pPr>
            <w:r>
              <w:t xml:space="preserve">United States federal</w:t>
            </w:r>
          </w:p>
        </w:tc>
        <w:tc>
          <w:tcPr>
            <w:tcW w:w="2400" w:type="dxa"/>
          </w:tcPr>
          <w:p>
            <w:pPr>
              <w:pStyle w:val="TableText"/>
            </w:pPr>
            <w:r>
              <w:rPr>
                <w:rFonts w:ascii="Consolas" w:hAnsi="Consolas"/>
                <w:sz w:val="19"/>
              </w:rPr>
              <w:t xml:space="preserve">federal-holiday</w:t>
            </w:r>
          </w:p>
        </w:tc>
        <w:tc>
          <w:tcPr>
            <w:tcW w:w="2400" w:type="dxa"/>
          </w:tcPr>
          <w:p>
            <w:pPr>
              <w:pStyle w:val="TableText"/>
            </w:pPr>
            <w:r>
              <w:t xml:space="preserve">Thanksgiving, Juneteenth, Memorial Day</w:t>
            </w:r>
          </w:p>
        </w:tc>
      </w:tr>
      <w:tr>
        <w:tc>
          <w:tcPr>
            <w:tcW w:w="2400" w:type="dxa"/>
          </w:tcPr>
          <w:p>
            <w:pPr>
              <w:pStyle w:val="TableText"/>
            </w:pPr>
            <w:r>
              <w:t xml:space="preserve">Widely celebrated</w:t>
            </w:r>
          </w:p>
        </w:tc>
        <w:tc>
          <w:tcPr>
            <w:tcW w:w="2400" w:type="dxa"/>
          </w:tcPr>
          <w:p>
            <w:pPr>
              <w:pStyle w:val="TableText"/>
            </w:pPr>
            <w:r>
              <w:rPr>
                <w:rFonts w:ascii="Consolas" w:hAnsi="Consolas"/>
                <w:sz w:val="19"/>
              </w:rPr>
              <w:t xml:space="preserve">celebration</w:t>
            </w:r>
          </w:p>
        </w:tc>
        <w:tc>
          <w:tcPr>
            <w:tcW w:w="2400" w:type="dxa"/>
          </w:tcPr>
          <w:p>
            <w:pPr>
              <w:pStyle w:val="TableText"/>
            </w:pPr>
            <w:r>
              <w:t xml:space="preserve">Valentine's Day, Halloween, Mother's Day</w:t>
            </w:r>
          </w:p>
        </w:tc>
      </w:tr>
      <w:tr>
        <w:tc>
          <w:tcPr>
            <w:tcW w:w="2400" w:type="dxa"/>
          </w:tcPr>
          <w:p>
            <w:pPr>
              <w:pStyle w:val="TableText"/>
            </w:pPr>
            <w:r>
              <w:t xml:space="preserve">Christian</w:t>
            </w:r>
          </w:p>
        </w:tc>
        <w:tc>
          <w:tcPr>
            <w:tcW w:w="2400" w:type="dxa"/>
          </w:tcPr>
          <w:p>
            <w:pPr>
              <w:pStyle w:val="TableText"/>
            </w:pPr>
            <w:r>
              <w:rPr>
                <w:rFonts w:ascii="Consolas" w:hAnsi="Consolas"/>
                <w:sz w:val="19"/>
              </w:rPr>
              <w:t xml:space="preserve">religious</w:t>
            </w:r>
            <w:r>
              <w:t xml:space="preserve"> </w:t>
            </w:r>
            <w:r>
              <w:rPr>
                <w:rFonts w:ascii="Consolas" w:hAnsi="Consolas"/>
                <w:sz w:val="19"/>
              </w:rPr>
              <w:t xml:space="preserve">christian</w:t>
            </w:r>
          </w:p>
        </w:tc>
        <w:tc>
          <w:tcPr>
            <w:tcW w:w="2400" w:type="dxa"/>
          </w:tcPr>
          <w:p>
            <w:pPr>
              <w:pStyle w:val="TableText"/>
            </w:pPr>
            <w:r>
              <w:t xml:space="preserve">Ash Wednesday, Good Friday, Easter, Orthodox Pascha, Advent</w:t>
            </w:r>
          </w:p>
        </w:tc>
      </w:tr>
      <w:tr>
        <w:tc>
          <w:tcPr>
            <w:tcW w:w="2400" w:type="dxa"/>
          </w:tcPr>
          <w:p>
            <w:pPr>
              <w:pStyle w:val="TableText"/>
            </w:pPr>
            <w:r>
              <w:t xml:space="preserve">Jewish</w:t>
            </w:r>
          </w:p>
        </w:tc>
        <w:tc>
          <w:tcPr>
            <w:tcW w:w="2400" w:type="dxa"/>
          </w:tcPr>
          <w:p>
            <w:pPr>
              <w:pStyle w:val="TableText"/>
            </w:pPr>
            <w:r>
              <w:rPr>
                <w:rFonts w:ascii="Consolas" w:hAnsi="Consolas"/>
                <w:sz w:val="19"/>
              </w:rPr>
              <w:t xml:space="preserve">religious</w:t>
            </w:r>
            <w:r>
              <w:t xml:space="preserve"> </w:t>
            </w:r>
            <w:r>
              <w:rPr>
                <w:rFonts w:ascii="Consolas" w:hAnsi="Consolas"/>
                <w:sz w:val="19"/>
              </w:rPr>
              <w:t xml:space="preserve">jewish</w:t>
            </w:r>
          </w:p>
        </w:tc>
        <w:tc>
          <w:tcPr>
            <w:tcW w:w="2400" w:type="dxa"/>
          </w:tcPr>
          <w:p>
            <w:pPr>
              <w:pStyle w:val="TableText"/>
            </w:pPr>
            <w:r>
              <w:t xml:space="preserve">Rosh Hashanah, Yom Kippur, Passover, Purim, Hanukkah</w:t>
            </w:r>
          </w:p>
        </w:tc>
      </w:tr>
      <w:tr>
        <w:tc>
          <w:tcPr>
            <w:tcW w:w="2400" w:type="dxa"/>
          </w:tcPr>
          <w:p>
            <w:pPr>
              <w:pStyle w:val="TableText"/>
            </w:pPr>
            <w:r>
              <w:t xml:space="preserve">Islamic</w:t>
            </w:r>
          </w:p>
        </w:tc>
        <w:tc>
          <w:tcPr>
            <w:tcW w:w="2400" w:type="dxa"/>
          </w:tcPr>
          <w:p>
            <w:pPr>
              <w:pStyle w:val="TableText"/>
            </w:pPr>
            <w:r>
              <w:rPr>
                <w:rFonts w:ascii="Consolas" w:hAnsi="Consolas"/>
                <w:sz w:val="19"/>
              </w:rPr>
              <w:t xml:space="preserve">religious</w:t>
            </w:r>
            <w:r>
              <w:t xml:space="preserve"> </w:t>
            </w:r>
            <w:r>
              <w:rPr>
                <w:rFonts w:ascii="Consolas" w:hAnsi="Consolas"/>
                <w:sz w:val="19"/>
              </w:rPr>
              <w:t xml:space="preserve">islamic</w:t>
            </w:r>
          </w:p>
        </w:tc>
        <w:tc>
          <w:tcPr>
            <w:tcW w:w="2400" w:type="dxa"/>
          </w:tcPr>
          <w:p>
            <w:pPr>
              <w:pStyle w:val="TableText"/>
            </w:pPr>
            <w:r>
              <w:t xml:space="preserve">Ramadan, both Eids, Ashura, Mawlid al-Nabi</w:t>
            </w:r>
          </w:p>
        </w:tc>
      </w:tr>
      <w:tr>
        <w:tc>
          <w:tcPr>
            <w:tcW w:w="2400" w:type="dxa"/>
          </w:tcPr>
          <w:p>
            <w:pPr>
              <w:pStyle w:val="TableText"/>
            </w:pPr>
            <w:r>
              <w:t xml:space="preserve">Hindu, Buddhist, cultural</w:t>
            </w:r>
          </w:p>
        </w:tc>
        <w:tc>
          <w:tcPr>
            <w:tcW w:w="2400" w:type="dxa"/>
          </w:tcPr>
          <w:p>
            <w:pPr>
              <w:pStyle w:val="TableText"/>
            </w:pPr>
            <w:r>
              <w:rPr>
                <w:rFonts w:ascii="Consolas" w:hAnsi="Consolas"/>
                <w:sz w:val="19"/>
              </w:rPr>
              <w:t xml:space="preserve">religious</w:t>
            </w:r>
            <w:r>
              <w:t xml:space="preserve"> </w:t>
            </w:r>
            <w:r>
              <w:rPr>
                <w:rFonts w:ascii="Consolas" w:hAnsi="Consolas"/>
                <w:sz w:val="19"/>
              </w:rPr>
              <w:t xml:space="preserve">hindu</w:t>
            </w:r>
            <w:r>
              <w:t xml:space="preserve"> </w:t>
            </w:r>
            <w:r>
              <w:rPr>
                <w:rFonts w:ascii="Consolas" w:hAnsi="Consolas"/>
                <w:sz w:val="19"/>
              </w:rPr>
              <w:t xml:space="preserve">buddhist</w:t>
            </w:r>
            <w:r>
              <w:t xml:space="preserve"> </w:t>
            </w:r>
            <w:r>
              <w:rPr>
                <w:rFonts w:ascii="Consolas" w:hAnsi="Consolas"/>
                <w:sz w:val="19"/>
              </w:rPr>
              <w:t xml:space="preserve">cultural</w:t>
            </w:r>
          </w:p>
        </w:tc>
        <w:tc>
          <w:tcPr>
            <w:tcW w:w="2400" w:type="dxa"/>
          </w:tcPr>
          <w:p>
            <w:pPr>
              <w:pStyle w:val="TableText"/>
            </w:pPr>
            <w:r>
              <w:t xml:space="preserve">Diwali, Holi, Vesak, Día de los Muertos, Kwanzaa</w:t>
            </w:r>
          </w:p>
        </w:tc>
      </w:tr>
    </w:tbl>
    <w:p/>
    <w:p>
      <w:r>
        <w:t xml:space="preserve">Every entry carries </w:t>
      </w:r>
      <w:r>
        <w:rPr>
          <w:rFonts w:ascii="Consolas" w:hAnsi="Consolas"/>
          <w:sz w:val="19"/>
        </w:rPr>
        <w:t xml:space="preserve">category: holiday</w:t>
      </w:r>
      <w:r>
        <w:t xml:space="preserve">, so all of them reach the front page grid together. The tradition tags are there for narrower views later.</w:t>
      </w:r>
    </w:p>
    <w:p>
      <w:pPr>
        <w:pStyle w:val="Heading2"/>
      </w:pPr>
      <w:r>
        <w:t xml:space="preserve">How the dates were set</w:t>
      </w:r>
    </w:p>
    <w:p>
      <w:r>
        <w:t xml:space="preserve">Every date traces to a rule, a validated algorithm, or a named source. None were recalled from memory or estimated.</w:t>
      </w:r>
    </w:p>
    <w:tbl>
      <w:tblPr>
        <w:tblStyle w:val="TableGrid"/>
        <w:tblW w:w="0" w:type="auto"/>
      </w:tblPr>
      <w:tblGrid>
        <w:gridCol w:w="2400"/>
        <w:gridCol w:w="2400"/>
        <w:gridCol w:w="2400"/>
      </w:tblGrid>
      <w:tr>
        <w:trPr>
          <w:tblHeader/>
        </w:trPr>
        <w:tc>
          <w:tcPr>
            <w:tcW w:w="2400" w:type="dxa"/>
          </w:tcPr>
          <w:p>
            <w:pPr>
              <w:pStyle w:val="TableText"/>
            </w:pPr>
            <w:r>
              <w:rPr>
                <w:b/>
              </w:rPr>
              <w:t xml:space="preserve">Method</w:t>
            </w:r>
          </w:p>
        </w:tc>
        <w:tc>
          <w:tcPr>
            <w:tcW w:w="2400" w:type="dxa"/>
          </w:tcPr>
          <w:p>
            <w:pPr>
              <w:pStyle w:val="TableText"/>
            </w:pPr>
            <w:r>
              <w:rPr>
                <w:b/>
              </w:rPr>
              <w:t xml:space="preserve">Applies to</w:t>
            </w:r>
          </w:p>
        </w:tc>
        <w:tc>
          <w:tcPr>
            <w:tcW w:w="2400" w:type="dxa"/>
          </w:tcPr>
          <w:p>
            <w:pPr>
              <w:pStyle w:val="TableText"/>
            </w:pPr>
            <w:r>
              <w:rPr>
                <w:b/>
              </w:rPr>
              <w:t xml:space="preserve">Confidence</w:t>
            </w:r>
          </w:p>
        </w:tc>
      </w:tr>
      <w:tr>
        <w:tc>
          <w:tcPr>
            <w:tcW w:w="2400" w:type="dxa"/>
          </w:tcPr>
          <w:p>
            <w:pPr>
              <w:pStyle w:val="TableText"/>
            </w:pPr>
            <w:r>
              <w:t xml:space="preserve">Statutory or fixed rule</w:t>
            </w:r>
          </w:p>
        </w:tc>
        <w:tc>
          <w:tcPr>
            <w:tcW w:w="2400" w:type="dxa"/>
          </w:tcPr>
          <w:p>
            <w:pPr>
              <w:pStyle w:val="TableText"/>
            </w:pPr>
            <w:r>
              <w:t xml:space="preserve">Federal holidays, fixed-date feasts</w:t>
            </w:r>
          </w:p>
        </w:tc>
        <w:tc>
          <w:tcPr>
            <w:tcW w:w="2400" w:type="dxa"/>
          </w:tcPr>
          <w:p>
            <w:pPr>
              <w:pStyle w:val="TableText"/>
            </w:pPr>
            <w:r>
              <w:t xml:space="preserve">Exact. Federal dates follow 5 U.S.C. § 6103 — "third Monday in January" and so on.</w:t>
            </w:r>
          </w:p>
        </w:tc>
      </w:tr>
      <w:tr>
        <w:tc>
          <w:tcPr>
            <w:tcW w:w="2400" w:type="dxa"/>
          </w:tcPr>
          <w:p>
            <w:pPr>
              <w:pStyle w:val="TableText"/>
            </w:pPr>
            <w:r>
              <w:t xml:space="preserve">Gregorian and Julian computus</w:t>
            </w:r>
          </w:p>
        </w:tc>
        <w:tc>
          <w:tcPr>
            <w:tcW w:w="2400" w:type="dxa"/>
          </w:tcPr>
          <w:p>
            <w:pPr>
              <w:pStyle w:val="TableText"/>
            </w:pPr>
            <w:r>
              <w:t xml:space="preserve">Easter and everything offset from it</w:t>
            </w:r>
          </w:p>
        </w:tc>
        <w:tc>
          <w:tcPr>
            <w:tcW w:w="2400" w:type="dxa"/>
          </w:tcPr>
          <w:p>
            <w:pPr>
              <w:pStyle w:val="TableText"/>
            </w:pPr>
            <w:r>
              <w:t xml:space="preserve">Exact. The algorithm reproduces the site's independently sourced Easter 2026 date of April 5.</w:t>
            </w:r>
          </w:p>
        </w:tc>
      </w:tr>
      <w:tr>
        <w:tc>
          <w:tcPr>
            <w:tcW w:w="2400" w:type="dxa"/>
          </w:tcPr>
          <w:p>
            <w:pPr>
              <w:pStyle w:val="TableText"/>
            </w:pPr>
            <w:r>
              <w:t xml:space="preserve">Arithmetic Hebrew calendar</w:t>
            </w:r>
          </w:p>
        </w:tc>
        <w:tc>
          <w:tcPr>
            <w:tcW w:w="2400" w:type="dxa"/>
          </w:tcPr>
          <w:p>
            <w:pPr>
              <w:pStyle w:val="TableText"/>
            </w:pPr>
            <w:r>
              <w:t xml:space="preserve">Every Jewish observance</w:t>
            </w:r>
          </w:p>
        </w:tc>
        <w:tc>
          <w:tcPr>
            <w:tcW w:w="2400" w:type="dxa"/>
          </w:tcPr>
          <w:p>
            <w:pPr>
              <w:pStyle w:val="TableText"/>
            </w:pPr>
            <w:r>
              <w:t xml:space="preserve">Exact. The Hebrew calendar has been fully rule-determined since Hillel II. The implementation reproduces the site's Passover 2026 and Hanukkah 2026 dates.</w:t>
            </w:r>
          </w:p>
        </w:tc>
      </w:tr>
      <w:tr>
        <w:tc>
          <w:tcPr>
            <w:tcW w:w="2400" w:type="dxa"/>
          </w:tcPr>
          <w:p>
            <w:pPr>
              <w:pStyle w:val="TableText"/>
            </w:pPr>
            <w:r>
              <w:t xml:space="preserve">Tabular Islamic calendar</w:t>
            </w:r>
          </w:p>
        </w:tc>
        <w:tc>
          <w:tcPr>
            <w:tcW w:w="2400" w:type="dxa"/>
          </w:tcPr>
          <w:p>
            <w:pPr>
              <w:pStyle w:val="TableText"/>
            </w:pPr>
            <w:r>
              <w:t xml:space="preserve">Every Islamic observance</w:t>
            </w:r>
          </w:p>
        </w:tc>
        <w:tc>
          <w:tcPr>
            <w:tcW w:w="2400" w:type="dxa"/>
          </w:tcPr>
          <w:p>
            <w:pPr>
              <w:pStyle w:val="TableText"/>
            </w:pPr>
            <w:r>
              <w:rPr>
                <w:b/>
              </w:rPr>
              <w:t xml:space="preserve">Approximate.</w:t>
            </w:r>
            <w:r>
              <w:t xml:space="preserve"> Reproduces the site's Ramadan, Eid al-Fitr, and Eid al-Adha 2026 exactly, but real observance follows local moon sighting.</w:t>
            </w:r>
          </w:p>
        </w:tc>
      </w:tr>
      <w:tr>
        <w:tc>
          <w:tcPr>
            <w:tcW w:w="2400" w:type="dxa"/>
          </w:tcPr>
          <w:p>
            <w:pPr>
              <w:pStyle w:val="TableText"/>
            </w:pPr>
            <w:r>
              <w:t xml:space="preserve">Wikipedia</w:t>
            </w:r>
          </w:p>
        </w:tc>
        <w:tc>
          <w:tcPr>
            <w:tcW w:w="2400" w:type="dxa"/>
          </w:tcPr>
          <w:p>
            <w:pPr>
              <w:pStyle w:val="TableText"/>
            </w:pPr>
            <w:r>
              <w:t xml:space="preserve">Hindu and Buddhist observances</w:t>
            </w:r>
          </w:p>
        </w:tc>
        <w:tc>
          <w:tcPr>
            <w:tcW w:w="2400" w:type="dxa"/>
          </w:tcPr>
          <w:p>
            <w:pPr>
              <w:pStyle w:val="TableText"/>
            </w:pPr>
            <w:r>
              <w:t xml:space="preserve">As stated in the article, which is the project's authorized factual source.</w:t>
            </w:r>
          </w:p>
        </w:tc>
      </w:tr>
      <w:tr>
        <w:tc>
          <w:tcPr>
            <w:tcW w:w="2400" w:type="dxa"/>
          </w:tcPr>
          <w:p>
            <w:pPr>
              <w:pStyle w:val="TableText"/>
            </w:pPr>
            <w:hyperlink r:id="rId101">
              <w:r>
                <w:rPr>
                  <w:color w:val="1F4E79"/>
                  <w:u w:val="single"/>
                </w:rPr>
                <w:t xml:space="preserve">Yearly Calendar 2026</w:t>
              </w:r>
            </w:hyperlink>
          </w:p>
        </w:tc>
        <w:tc>
          <w:tcPr>
            <w:tcW w:w="2400" w:type="dxa"/>
          </w:tcPr>
          <w:p>
            <w:pPr>
              <w:pStyle w:val="TableText"/>
            </w:pPr>
            <w:r>
              <w:t xml:space="preserve">Holi, and the original 2026 observances</w:t>
            </w:r>
          </w:p>
        </w:tc>
        <w:tc>
          <w:tcPr>
            <w:tcW w:w="2400" w:type="dxa"/>
          </w:tcPr>
          <w:p>
            <w:pPr>
              <w:pStyle w:val="TableText"/>
            </w:pPr>
            <w:r>
              <w:t xml:space="preserve">As good as that reference.</w:t>
            </w:r>
          </w:p>
        </w:tc>
      </w:tr>
    </w:tbl>
    <w:p/>
    <w:p>
      <w:r>
        <w:t xml:space="preserve">Each page names its own method under a </w:t>
      </w:r>
      <w:r>
        <w:rPr>
          <w:b/>
        </w:rPr>
        <w:t xml:space="preserve">Source</w:t>
      </w:r>
      <w:r>
        <w:t xml:space="preserve"> heading, so the trail stays readable from the entry itself.</w:t>
      </w:r>
    </w:p>
    <w:p>
      <w:pPr>
        <w:pStyle w:val="Heading3"/>
      </w:pPr>
      <w:r>
        <w:t xml:space="preserve">Why algorithms are allowed here</w:t>
      </w:r>
    </w:p>
    <w:p>
      <w:r>
        <w:t xml:space="preserve">An algorithm is only used where the calendar it models is genuinely deterministic, and only after it reproduces a date the site already had from an independent source. The computus and the Hebrew calendar both cleared that bar. Nothing is derived by algorithm alone on trust.</w:t>
      </w:r>
    </w:p>
    <w:p>
      <w:r>
        <w:t xml:space="preserve">The tabular Islamic calendar is the exception that proves the rule: it matched all three of the site's 2026 Islamic dates, but the real calendar depends on moon sighting, so those entries stay marked approximate no matter how well the arithmetic agrees.</w:t>
      </w:r>
    </w:p>
    <w:p>
      <w:r>
        <w:t xml:space="preserve">Hindu and Sikh lunisolar dates are not computed at all. They vary by region and tradition in ways no simple algorithm captures, so they are sourced or they are left out.</w:t>
      </w:r>
    </w:p>
    <w:p>
      <w:pPr>
        <w:pStyle w:val="Heading3"/>
      </w:pPr>
      <w:r>
        <w:t xml:space="preserve">Sunset starts</w:t>
      </w:r>
    </w:p>
    <w:p>
      <w:r>
        <w:t xml:space="preserve">Jewish observances begin at sunset on the evening before the date shown, and the pages say so. The calendar entry uses the daytime date, which is the convention every calendar app expects.</w:t>
      </w:r>
    </w:p>
    <w:p>
      <w:pPr>
        <w:pStyle w:val="Heading3"/>
      </w:pPr>
      <w:r>
        <w:t xml:space="preserve">Weekend observance</w:t>
      </w:r>
    </w:p>
    <w:p>
      <w:r>
        <w:t xml:space="preserve">When a federal holiday falls on a weekend, federal offices observe the nearest weekday, and the entry says so in its body. The calendar entry stays on the real date — Independence Day 2027 is Sunday July 4, with the observed day noted as Monday July 5.</w:t>
      </w:r>
    </w:p>
    <w:p>
      <w:pPr>
        <w:pStyle w:val="Heading3"/>
      </w:pPr>
      <w:r>
        <w:t xml:space="preserve">A correction</w:t>
      </w:r>
    </w:p>
    <w:p>
      <w:hyperlink r:id="rId102">
        <w:r>
          <w:rPr>
            <w:color w:val="1F4E79"/>
            <w:u w:val="single"/>
          </w:rPr>
          <w:t xml:space="preserve">Yearly Calendar 2026</w:t>
        </w:r>
      </w:hyperlink>
      <w:r>
        <w:t xml:space="preserve"> listed the Islamic New Year as </w:t>
      </w:r>
      <w:r>
        <w:rPr>
          <w:i/>
        </w:rPr>
        <w:t xml:space="preserve">June 28 – July 4, 2026</w:t>
      </w:r>
      <w:r>
        <w:t xml:space="preserve">. That was wrong by about two weeks: Wikipedia gives 16 June 2026 for 1 Muharram 1448, and the reference's own Eid al-Adha date of May 27 implies mid-June, since 1 Muharram falls roughly three weeks after 10 Dhu al-Hijjah. The reference has been corrected and the entry here uses June 17.</w:t>
      </w:r>
    </w:p>
    <w:p>
      <w:pPr>
        <w:pStyle w:val="Heading2"/>
      </w:pPr>
      <w:r>
        <w:t xml:space="preserve">Showing holidays on a page</w:t>
      </w:r>
    </w:p>
    <w:p>
      <w:r>
        <w:t xml:space="preserve">Drop the filtered marker on its own line:</w:t>
      </w:r>
    </w:p>
    <w:p>
      <w:pPr>
        <w:pStyle w:val="CodeBlock"/>
      </w:pPr>
      <w:r>
        <w:rPr>
          <w:rFonts w:ascii="Consolas" w:hAnsi="Consolas"/>
          <w:sz w:val="18"/>
        </w:rPr>
        <w:t xml:space="preserve"/>
      </w:r>
      <w:r>
        <w:br/>
      </w:r>
      <w:r>
        <w:rPr>
          <w:rFonts w:ascii="Consolas" w:hAnsi="Consolas"/>
          <w:sz w:val="18"/>
        </w:rPr>
        <w:t xml:space="preserve"/>
      </w:r>
    </w:p>
    <w:p>
      <w:r>
        <w:t xml:space="preserve">The filter matches an entry's </w:t>
      </w:r>
      <w:r>
        <w:rPr>
          <w:rFonts w:ascii="Consolas" w:hAnsi="Consolas"/>
          <w:sz w:val="19"/>
        </w:rPr>
        <w:t xml:space="preserve">category:</w:t>
      </w:r>
      <w:r>
        <w:t xml:space="preserve"> or any of its tags, so </w:t>
      </w:r>
      <w:r>
        <w:rPr>
          <w:rFonts w:ascii="Consolas" w:hAnsi="Consolas"/>
          <w:sz w:val="19"/>
        </w:rPr>
        <w:t xml:space="preserve">holiday</w:t>
      </w:r>
      <w:r>
        <w:t xml:space="preserve"> and </w:t>
      </w:r>
      <w:r>
        <w:rPr>
          <w:rFonts w:ascii="Consolas" w:hAnsi="Consolas"/>
          <w:sz w:val="19"/>
        </w:rPr>
        <w:t xml:space="preserve">observance</w:t>
      </w:r>
      <w:r>
        <w:t xml:space="preserve"> entries both appear wherever they live on the site — nothing depends on a page sitting in this folder. The bare `` marker is unchanged and still shows everything.</w:t>
      </w:r>
    </w:p>
    <w:p>
      <w:r>
        <w:t xml:space="preserve">This is what </w:t>
      </w:r>
      <w:hyperlink r:id="rId103">
        <w:r>
          <w:rPr>
            <w:color w:val="1F4E79"/>
            <w:u w:val="single"/>
          </w:rPr>
          <w:t xml:space="preserve">the front page</w:t>
        </w:r>
      </w:hyperlink>
      <w:r>
        <w:t xml:space="preserve"> uses.</w:t>
      </w:r>
    </w:p>
    <w:p>
      <w:pPr>
        <w:pStyle w:val="Heading2"/>
      </w:pPr>
      <w:r>
        <w:t xml:space="preserve">Subscribing</w:t>
      </w:r>
    </w:p>
    <w:p>
      <w:r>
        <w:t xml:space="preserve">The holiday layer publishes as its own feed, separate from the full calendar.</w:t>
      </w:r>
    </w:p>
    <w:tbl>
      <w:tblPr>
        <w:tblStyle w:val="TableGrid"/>
        <w:tblW w:w="0" w:type="auto"/>
      </w:tblPr>
      <w:tblGrid>
        <w:gridCol w:w="2400"/>
        <w:gridCol w:w="2400"/>
      </w:tblGrid>
      <w:tr>
        <w:trPr>
          <w:tblHeader/>
        </w:trPr>
        <w:tc>
          <w:tcPr>
            <w:tcW w:w="2400" w:type="dxa"/>
          </w:tcPr>
          <w:p>
            <w:pPr>
              <w:pStyle w:val="TableText"/>
            </w:pPr>
            <w:r>
              <w:rPr>
                <w:b/>
              </w:rPr>
              <w:t xml:space="preserve">Feed</w:t>
            </w:r>
          </w:p>
        </w:tc>
        <w:tc>
          <w:tcPr>
            <w:tcW w:w="2400" w:type="dxa"/>
          </w:tcPr>
          <w:p>
            <w:pPr>
              <w:pStyle w:val="TableText"/>
            </w:pPr>
            <w:r>
              <w:rPr>
                <w:b/>
              </w:rPr>
              <w:t xml:space="preserve">URL</w:t>
            </w:r>
          </w:p>
        </w:tc>
      </w:tr>
      <w:tr>
        <w:tc>
          <w:tcPr>
            <w:tcW w:w="2400" w:type="dxa"/>
          </w:tcPr>
          <w:p>
            <w:pPr>
              <w:pStyle w:val="TableText"/>
            </w:pPr>
            <w:r>
              <w:t xml:space="preserve">Holidays only</w:t>
            </w:r>
          </w:p>
        </w:tc>
        <w:tc>
          <w:tcPr>
            <w:tcW w:w="2400" w:type="dxa"/>
          </w:tcPr>
          <w:p>
            <w:pPr>
              <w:pStyle w:val="TableText"/>
            </w:pPr>
            <w:r>
              <w:rPr>
                <w:rFonts w:ascii="Consolas" w:hAnsi="Consolas"/>
                <w:sz w:val="19"/>
              </w:rPr>
              <w:t xml:space="preserve">https://agoramores.com/calendar/holidays.ics</w:t>
            </w:r>
          </w:p>
        </w:tc>
      </w:tr>
      <w:tr>
        <w:tc>
          <w:tcPr>
            <w:tcW w:w="2400" w:type="dxa"/>
          </w:tcPr>
          <w:p>
            <w:pPr>
              <w:pStyle w:val="TableText"/>
            </w:pPr>
            <w:r>
              <w:t xml:space="preserve">Everything</w:t>
            </w:r>
          </w:p>
        </w:tc>
        <w:tc>
          <w:tcPr>
            <w:tcW w:w="2400" w:type="dxa"/>
          </w:tcPr>
          <w:p>
            <w:pPr>
              <w:pStyle w:val="TableText"/>
            </w:pPr>
            <w:r>
              <w:rPr>
                <w:rFonts w:ascii="Consolas" w:hAnsi="Consolas"/>
                <w:sz w:val="19"/>
              </w:rPr>
              <w:t xml:space="preserve">https://agoramores.com/calendar.ics</w:t>
            </w:r>
          </w:p>
        </w:tc>
      </w:tr>
    </w:tbl>
    <w:p/>
    <w:p>
      <w:r>
        <w:t xml:space="preserve">Swap </w:t>
      </w:r>
      <w:r>
        <w:rPr>
          <w:rFonts w:ascii="Consolas" w:hAnsi="Consolas"/>
          <w:sz w:val="19"/>
        </w:rPr>
        <w:t xml:space="preserve">https://</w:t>
      </w:r>
      <w:r>
        <w:t xml:space="preserve"> for </w:t>
      </w:r>
      <w:r>
        <w:rPr>
          <w:rFonts w:ascii="Consolas" w:hAnsi="Consolas"/>
          <w:sz w:val="19"/>
        </w:rPr>
        <w:t xml:space="preserve">webcal://</w:t>
      </w:r>
      <w:r>
        <w:t xml:space="preserve"> to subscribe rather than download. The subscribe buttons under the grid above already point at the holidays feed.</w:t>
      </w:r>
    </w:p>
    <w:p>
      <w:pPr>
        <w:pStyle w:val="Heading2"/>
      </w:pPr>
      <w:r>
        <w:t xml:space="preserve">Adding a holiday</w:t>
      </w:r>
    </w:p>
    <w:p>
      <w:pPr>
        <w:pStyle w:val="ListParagraph"/>
        <w:numPr>
          <w:ilvl w:val="0"/>
          <w:numId w:val="2"/>
        </w:numPr>
      </w:pPr>
      <w:r>
        <w:t xml:space="preserve">Create a page in this folder, titled with its date followed by the holiday's name.</w:t>
      </w:r>
    </w:p>
    <w:p>
      <w:pPr>
        <w:pStyle w:val="ListParagraph"/>
        <w:numPr>
          <w:ilvl w:val="0"/>
          <w:numId w:val="2"/>
        </w:numPr>
      </w:pPr>
      <w:r>
        <w:t xml:space="preserve">Set </w:t>
      </w:r>
      <w:r>
        <w:rPr>
          <w:rFonts w:ascii="Consolas" w:hAnsi="Consolas"/>
          <w:sz w:val="19"/>
        </w:rPr>
        <w:t xml:space="preserve">date:</w:t>
      </w:r>
      <w:r>
        <w:t xml:space="preserve">, </w:t>
      </w:r>
      <w:r>
        <w:rPr>
          <w:rFonts w:ascii="Consolas" w:hAnsi="Consolas"/>
          <w:sz w:val="19"/>
        </w:rPr>
        <w:t xml:space="preserve">title:</w:t>
      </w:r>
      <w:r>
        <w:t xml:space="preserve">, </w:t>
      </w:r>
      <w:r>
        <w:rPr>
          <w:rFonts w:ascii="Consolas" w:hAnsi="Consolas"/>
          <w:sz w:val="19"/>
        </w:rPr>
        <w:t xml:space="preserve">category: holiday</w:t>
      </w:r>
      <w:r>
        <w:t xml:space="preserve">, and </w:t>
      </w:r>
      <w:r>
        <w:rPr>
          <w:rFonts w:ascii="Consolas" w:hAnsi="Consolas"/>
          <w:sz w:val="19"/>
        </w:rPr>
        <w:t xml:space="preserve">status: public</w:t>
      </w:r>
      <w:r>
        <w:t xml:space="preserve">.</w:t>
      </w:r>
    </w:p>
    <w:p>
      <w:pPr>
        <w:pStyle w:val="ListParagraph"/>
        <w:numPr>
          <w:ilvl w:val="0"/>
          <w:numId w:val="2"/>
        </w:numPr>
      </w:pPr>
      <w:r>
        <w:t xml:space="preserve">Add </w:t>
      </w:r>
      <w:r>
        <w:rPr>
          <w:rFonts w:ascii="Consolas" w:hAnsi="Consolas"/>
          <w:sz w:val="19"/>
        </w:rPr>
        <w:t xml:space="preserve">endDate:</w:t>
      </w:r>
      <w:r>
        <w:t xml:space="preserve"> for a multi-day observance such as Passover, Sukkot, Hanukkah, or Kwanzaa.</w:t>
      </w:r>
    </w:p>
    <w:p>
      <w:pPr>
        <w:pStyle w:val="ListParagraph"/>
        <w:numPr>
          <w:ilvl w:val="0"/>
          <w:numId w:val="2"/>
        </w:numPr>
      </w:pPr>
      <w:r>
        <w:t xml:space="preserve">Tag it </w:t>
      </w:r>
      <w:r>
        <w:rPr>
          <w:rFonts w:ascii="Consolas" w:hAnsi="Consolas"/>
          <w:sz w:val="19"/>
        </w:rPr>
        <w:t xml:space="preserve">federal-holiday</w:t>
      </w:r>
      <w:r>
        <w:t xml:space="preserve">, </w:t>
      </w:r>
      <w:r>
        <w:rPr>
          <w:rFonts w:ascii="Consolas" w:hAnsi="Consolas"/>
          <w:sz w:val="19"/>
        </w:rPr>
        <w:t xml:space="preserve">celebration</w:t>
      </w:r>
      <w:r>
        <w:t xml:space="preserve">, </w:t>
      </w:r>
      <w:r>
        <w:rPr>
          <w:rFonts w:ascii="Consolas" w:hAnsi="Consolas"/>
          <w:sz w:val="19"/>
        </w:rPr>
        <w:t xml:space="preserve">religious</w:t>
      </w:r>
      <w:r>
        <w:t xml:space="preserve">, or </w:t>
      </w:r>
      <w:r>
        <w:rPr>
          <w:rFonts w:ascii="Consolas" w:hAnsi="Consolas"/>
          <w:sz w:val="19"/>
        </w:rPr>
        <w:t xml:space="preserve">cultural</w:t>
      </w:r>
      <w:r>
        <w:t xml:space="preserve"> alongside </w:t>
      </w:r>
      <w:r>
        <w:rPr>
          <w:rFonts w:ascii="Consolas" w:hAnsi="Consolas"/>
          <w:sz w:val="19"/>
        </w:rPr>
        <w:t xml:space="preserve">holiday</w:t>
      </w:r>
      <w:r>
        <w:t xml:space="preserve">, and add a tradition tag for religious entries.</w:t>
      </w:r>
    </w:p>
    <w:p>
      <w:pPr>
        <w:pStyle w:val="ListParagraph"/>
        <w:numPr>
          <w:ilvl w:val="0"/>
          <w:numId w:val="2"/>
        </w:numPr>
      </w:pPr>
      <w:r>
        <w:t xml:space="preserve">Record where the date came from under a </w:t>
      </w:r>
      <w:r>
        <w:rPr>
          <w:b/>
        </w:rPr>
        <w:t xml:space="preserve">Source</w:t>
      </w:r>
      <w:r>
        <w:t xml:space="preserve"> heading.</w:t>
      </w:r>
    </w:p>
    <w:p>
      <w:r>
        <w:t xml:space="preserve">Do not estimate a moveable date. Leave it out until it can be sourced.</w:t>
      </w:r>
    </w:p>
    <w:p>
      <w:pPr>
        <w:pStyle w:val="Heading2"/>
      </w:pPr>
      <w:r>
        <w:t xml:space="preserve">Open work</w:t>
      </w:r>
    </w:p>
    <w:p>
      <w:r>
        <w:t xml:space="preserve">These are named rather than guessed at, which is the point.</w:t>
      </w:r>
    </w:p>
    <w:p>
      <w:pPr>
        <w:pStyle w:val="ListParagraph"/>
        <w:numPr>
          <w:ilvl w:val="0"/>
          <w:numId w:val="1"/>
        </w:numPr>
      </w:pPr>
      <w:r>
        <w:rPr>
          <w:b/>
        </w:rPr>
        <w:t xml:space="preserve">Hindu festivals beyond Maha Shivaratri, Holi, Ganesh Chaturthi, and Diwali.</w:t>
      </w:r>
      <w:r>
        <w:t xml:space="preserve"> Wikipedia's articles for Krishna Janmashtami, Navaratri, and Dussehra list dates only through 2025, so 2026 and 2027 could not be sourced.</w:t>
      </w:r>
    </w:p>
    <w:p>
      <w:pPr>
        <w:pStyle w:val="ListParagraph"/>
        <w:numPr>
          <w:ilvl w:val="0"/>
          <w:numId w:val="1"/>
        </w:numPr>
      </w:pPr>
      <w:r>
        <w:rPr>
          <w:b/>
        </w:rPr>
        <w:t xml:space="preserve">Sikh observances.</w:t>
      </w:r>
      <w:r>
        <w:t xml:space="preserve"> Vaisakhi is documented only as "13 or 14 April" with no year-by-year table, and Guru Nanak Gurpurab lists 2025 alone. Neither can be pinned down from the current sources.</w:t>
      </w:r>
    </w:p>
    <w:p>
      <w:pPr>
        <w:pStyle w:val="ListParagraph"/>
        <w:numPr>
          <w:ilvl w:val="0"/>
          <w:numId w:val="1"/>
        </w:numPr>
      </w:pPr>
      <w:r>
        <w:rPr>
          <w:b/>
        </w:rPr>
        <w:t xml:space="preserve">Holi 2027</w:t>
      </w:r>
      <w:r>
        <w:t xml:space="preserve">, for the same reason — Wikipedia carries no year-by-year table for it.</w:t>
      </w:r>
    </w:p>
    <w:p>
      <w:pPr>
        <w:pStyle w:val="ListParagraph"/>
        <w:numPr>
          <w:ilvl w:val="0"/>
          <w:numId w:val="1"/>
        </w:numPr>
      </w:pPr>
      <w:r>
        <w:rPr>
          <w:b/>
        </w:rPr>
        <w:t xml:space="preserve">Lunar New Year 2027</w:t>
      </w:r>
      <w:r>
        <w:t xml:space="preserve"> and </w:t>
      </w:r>
      <w:r>
        <w:rPr>
          <w:b/>
        </w:rPr>
        <w:t xml:space="preserve">Nowruz 2027</w:t>
      </w:r>
      <w:r>
        <w:t xml:space="preserve">, which are in the 2026 set but have no sourced 2027 date yet.</w:t>
      </w:r>
    </w:p>
    <w:p>
      <w:pPr>
        <w:pStyle w:val="ListParagraph"/>
        <w:numPr>
          <w:ilvl w:val="0"/>
          <w:numId w:val="1"/>
        </w:numPr>
      </w:pPr>
      <w:r>
        <w:rPr>
          <w:b/>
        </w:rPr>
        <w:t xml:space="preserve">Ohio and local observances</w:t>
      </w:r>
      <w:r>
        <w:t xml:space="preserve"> are not covered at all.</w:t>
      </w:r>
    </w:p>
    <w:p>
      <w:r>
        <w:t xml:space="preserve">Closing these needs a per-year reference with the authority that </w:t>
      </w:r>
      <w:hyperlink r:id="rId104">
        <w:r>
          <w:rPr>
            <w:color w:val="1F4E79"/>
            <w:u w:val="single"/>
          </w:rPr>
          <w:t xml:space="preserve">Yearly Calendar 2026</w:t>
        </w:r>
      </w:hyperlink>
      <w:r>
        <w:t xml:space="preserve"> has for 2026.</w:t>
      </w:r>
    </w:p>
    <w:p>
      <w:pPr>
        <w:pStyle w:val="Heading2"/>
      </w:pPr>
      <w:r>
        <w:t xml:space="preserve">Related</w:t>
      </w:r>
    </w:p>
    <w:p>
      <w:pPr>
        <w:pStyle w:val="ListParagraph"/>
        <w:numPr>
          <w:ilvl w:val="0"/>
          <w:numId w:val="1"/>
        </w:numPr>
      </w:pPr>
      <w:hyperlink r:id="rId105">
        <w:r>
          <w:rPr>
            <w:color w:val="1F4E79"/>
            <w:u w:val="single"/>
          </w:rPr>
          <w:t xml:space="preserve">Calendar</w:t>
        </w:r>
      </w:hyperlink>
      <w:r>
        <w:t xml:space="preserve"> — how entries work, and the full feed list.</w:t>
      </w:r>
    </w:p>
    <w:p>
      <w:pPr>
        <w:pStyle w:val="ListParagraph"/>
        <w:numPr>
          <w:ilvl w:val="0"/>
          <w:numId w:val="1"/>
        </w:numPr>
      </w:pPr>
      <w:hyperlink r:id="rId106">
        <w:r>
          <w:rPr>
            <w:color w:val="1F4E79"/>
            <w:u w:val="single"/>
          </w:rPr>
          <w:t xml:space="preserve">Yearly Calendar 2026</w:t>
        </w:r>
      </w:hyperlink>
      <w:r>
        <w:t xml:space="preserve"> — the international observance reference behind the moveable dates.</w:t>
      </w:r>
    </w:p>
    <w:p>
      <w:pPr>
        <w:pStyle w:val="ListParagraph"/>
        <w:numPr>
          <w:ilvl w:val="0"/>
          <w:numId w:val="1"/>
        </w:numPr>
      </w:pPr>
      <w:hyperlink r:id="rId107">
        <w:r>
          <w:rPr>
            <w:color w:val="1F4E79"/>
            <w:u w:val="single"/>
          </w:rPr>
          <w:t xml:space="preserve">Events</w:t>
        </w:r>
      </w:hyperlink>
      <w:r>
        <w:t xml:space="preserve"> — dated entries that are not holidays.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holidays" TargetMode="External"/><Relationship Id="rId101" Type="http://schemas.openxmlformats.org/officeDocument/2006/relationships/hyperlink" Target="https://www.agoramores.com/calendar/yearly-calendar-2026" TargetMode="External"/><Relationship Id="rId102" Type="http://schemas.openxmlformats.org/officeDocument/2006/relationships/hyperlink" Target="https://www.agoramores.com/calendar/yearly-calendar-2026" TargetMode="External"/><Relationship Id="rId103" Type="http://schemas.openxmlformats.org/officeDocument/2006/relationships/hyperlink" Target="https://www.agoramores.com/portal" TargetMode="External"/><Relationship Id="rId104" Type="http://schemas.openxmlformats.org/officeDocument/2006/relationships/hyperlink" Target="https://www.agoramores.com/calendar/yearly-calendar-2026" TargetMode="External"/><Relationship Id="rId105" Type="http://schemas.openxmlformats.org/officeDocument/2006/relationships/hyperlink" Target="https://www.agoramores.com/calendar/portal" TargetMode="External"/><Relationship Id="rId106" Type="http://schemas.openxmlformats.org/officeDocument/2006/relationships/hyperlink" Target="https://www.agoramores.com/calendar/yearly-calendar-2026" TargetMode="External"/><Relationship Id="rId107" Type="http://schemas.openxmlformats.org/officeDocument/2006/relationships/hyperlink" Target="https://www.agoramores.com/event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holidays</dc:title>
  <dc:creator>Agoramores</dc:creator>
  <cp:keywords>calendar, holidays, holiday, leisure</cp:keywords>
  <dcterms:created xsi:type="dcterms:W3CDTF">2026-08-22T00:35:28Z</dcterms:created>
</cp:coreProperties>
</file>